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rFonts w:hint="default" w:ascii="黑体" w:hAnsi="黑体" w:eastAsia="黑体"/>
          <w:sz w:val="32"/>
          <w:szCs w:val="32"/>
          <w:lang w:val="en-US" w:eastAsia="zh-CN"/>
        </w:rPr>
      </w:pPr>
      <w:r>
        <w:rPr>
          <w:rFonts w:hint="eastAsia" w:ascii="黑体" w:hAnsi="黑体" w:eastAsia="黑体"/>
          <w:sz w:val="32"/>
          <w:szCs w:val="32"/>
        </w:rPr>
        <w:t>附件1</w:t>
      </w:r>
      <w:r>
        <w:rPr>
          <w:rFonts w:hint="eastAsia" w:ascii="黑体" w:hAnsi="黑体" w:eastAsia="黑体"/>
          <w:sz w:val="32"/>
          <w:szCs w:val="32"/>
          <w:lang w:val="en-US" w:eastAsia="zh-CN"/>
        </w:rPr>
        <w:t>-1</w:t>
      </w:r>
    </w:p>
    <w:p>
      <w:pPr>
        <w:spacing w:line="480" w:lineRule="exact"/>
        <w:jc w:val="center"/>
        <w:rPr>
          <w:rFonts w:hint="eastAsia" w:ascii="方正小标宋简体" w:hAnsi="黑体" w:eastAsia="方正小标宋简体"/>
          <w:sz w:val="36"/>
          <w:szCs w:val="36"/>
        </w:rPr>
      </w:pPr>
      <w:r>
        <w:rPr>
          <w:rFonts w:hint="eastAsia" w:ascii="方正小标宋简体" w:hAnsi="黑体" w:eastAsia="方正小标宋简体"/>
          <w:sz w:val="36"/>
          <w:szCs w:val="36"/>
        </w:rPr>
        <w:t>项目支出绩效自评表</w:t>
      </w:r>
    </w:p>
    <w:p>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 </w:t>
      </w:r>
      <w:r>
        <w:rPr>
          <w:rFonts w:hint="eastAsia" w:ascii="仿宋_GB2312" w:hAnsi="宋体" w:eastAsia="仿宋_GB2312"/>
          <w:sz w:val="28"/>
          <w:szCs w:val="28"/>
          <w:lang w:val="en-US" w:eastAsia="zh-CN"/>
        </w:rPr>
        <w:t>2022</w:t>
      </w:r>
      <w:r>
        <w:rPr>
          <w:rFonts w:hint="eastAsia" w:ascii="仿宋_GB2312" w:hAnsi="宋体" w:eastAsia="仿宋_GB2312"/>
          <w:sz w:val="28"/>
          <w:szCs w:val="28"/>
        </w:rPr>
        <w:t>年度）</w:t>
      </w:r>
    </w:p>
    <w:p>
      <w:pPr>
        <w:spacing w:line="240" w:lineRule="exact"/>
        <w:rPr>
          <w:rFonts w:hint="eastAsia" w:ascii="仿宋_GB2312" w:hAnsi="宋体" w:eastAsia="仿宋_GB2312"/>
          <w:sz w:val="30"/>
          <w:szCs w:val="30"/>
        </w:rPr>
      </w:pPr>
    </w:p>
    <w:tbl>
      <w:tblPr>
        <w:tblStyle w:val="7"/>
        <w:tblW w:w="8944" w:type="dxa"/>
        <w:jc w:val="center"/>
        <w:tblInd w:w="0" w:type="dxa"/>
        <w:tblLayout w:type="fixed"/>
        <w:tblCellMar>
          <w:top w:w="0" w:type="dxa"/>
          <w:left w:w="108" w:type="dxa"/>
          <w:bottom w:w="0" w:type="dxa"/>
          <w:right w:w="108" w:type="dxa"/>
        </w:tblCellMar>
      </w:tblPr>
      <w:tblGrid>
        <w:gridCol w:w="585"/>
        <w:gridCol w:w="975"/>
        <w:gridCol w:w="1105"/>
        <w:gridCol w:w="729"/>
        <w:gridCol w:w="1125"/>
        <w:gridCol w:w="283"/>
        <w:gridCol w:w="849"/>
        <w:gridCol w:w="848"/>
        <w:gridCol w:w="279"/>
        <w:gridCol w:w="284"/>
        <w:gridCol w:w="420"/>
        <w:gridCol w:w="143"/>
        <w:gridCol w:w="703"/>
        <w:gridCol w:w="616"/>
      </w:tblGrid>
      <w:tr>
        <w:tblPrEx>
          <w:tblLayout w:type="fixed"/>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项目名称</w:t>
            </w:r>
          </w:p>
        </w:tc>
        <w:tc>
          <w:tcPr>
            <w:tcW w:w="7384"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Cs w:val="21"/>
              </w:rPr>
              <w:t>法人单位经营情况调查</w:t>
            </w:r>
          </w:p>
        </w:tc>
      </w:tr>
      <w:tr>
        <w:tblPrEx>
          <w:tblLayout w:type="fixed"/>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主管部门</w:t>
            </w:r>
          </w:p>
        </w:tc>
        <w:tc>
          <w:tcPr>
            <w:tcW w:w="409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Cs w:val="21"/>
                <w:lang w:eastAsia="zh-CN"/>
              </w:rPr>
              <w:t>北京市统计局</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实施单位</w:t>
            </w:r>
          </w:p>
        </w:tc>
        <w:tc>
          <w:tcPr>
            <w:tcW w:w="2166"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eastAsia="zh-CN"/>
              </w:rPr>
              <w:t>北京市石景山区经济社会调查</w:t>
            </w:r>
          </w:p>
        </w:tc>
      </w:tr>
      <w:tr>
        <w:tblPrEx>
          <w:tblLayout w:type="fixed"/>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项目负责人</w:t>
            </w:r>
          </w:p>
        </w:tc>
        <w:tc>
          <w:tcPr>
            <w:tcW w:w="409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Cs w:val="21"/>
                <w:lang w:eastAsia="zh-CN"/>
              </w:rPr>
              <w:t>吴小焱</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联系电话</w:t>
            </w:r>
          </w:p>
        </w:tc>
        <w:tc>
          <w:tcPr>
            <w:tcW w:w="2166"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Cs w:val="21"/>
                <w:lang w:val="en-US" w:eastAsia="zh-CN"/>
              </w:rPr>
              <w:t>88920349</w:t>
            </w:r>
          </w:p>
        </w:tc>
      </w:tr>
      <w:tr>
        <w:tblPrEx>
          <w:tblLayout w:type="fixed"/>
          <w:tblCellMar>
            <w:top w:w="0" w:type="dxa"/>
            <w:left w:w="108" w:type="dxa"/>
            <w:bottom w:w="0" w:type="dxa"/>
            <w:right w:w="108" w:type="dxa"/>
          </w:tblCellMar>
        </w:tblPrEx>
        <w:trPr>
          <w:trHeight w:val="567" w:hRule="exact"/>
          <w:jc w:val="center"/>
        </w:trPr>
        <w:tc>
          <w:tcPr>
            <w:tcW w:w="1560"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项目资金</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（万元）</w:t>
            </w:r>
          </w:p>
        </w:tc>
        <w:tc>
          <w:tcPr>
            <w:tcW w:w="183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125"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年初预</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算数</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全年预</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算数</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全年</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执行数</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分值</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执行率</w:t>
            </w:r>
          </w:p>
        </w:tc>
        <w:tc>
          <w:tcPr>
            <w:tcW w:w="616"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得分</w:t>
            </w:r>
          </w:p>
        </w:tc>
      </w:tr>
      <w:tr>
        <w:tblPrEx>
          <w:tblLayout w:type="fixed"/>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834"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年度资金总额</w:t>
            </w:r>
          </w:p>
        </w:tc>
        <w:tc>
          <w:tcPr>
            <w:tcW w:w="1125" w:type="dxa"/>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6.75</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6.75</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6.75</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10</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Cs w:val="21"/>
                <w:lang w:val="en-US" w:eastAsia="zh-CN"/>
              </w:rPr>
              <w:t>100%</w:t>
            </w:r>
          </w:p>
        </w:tc>
        <w:tc>
          <w:tcPr>
            <w:tcW w:w="616" w:type="dxa"/>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10</w:t>
            </w:r>
          </w:p>
        </w:tc>
      </w:tr>
      <w:tr>
        <w:tblPrEx>
          <w:tblLayout w:type="fixed"/>
          <w:tblCellMar>
            <w:top w:w="0" w:type="dxa"/>
            <w:left w:w="108" w:type="dxa"/>
            <w:bottom w:w="0" w:type="dxa"/>
            <w:right w:w="108" w:type="dxa"/>
          </w:tblCellMar>
        </w:tblPrEx>
        <w:trPr>
          <w:trHeight w:val="601"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83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其中：当年财政</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拨款</w:t>
            </w:r>
          </w:p>
        </w:tc>
        <w:tc>
          <w:tcPr>
            <w:tcW w:w="1125"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lang w:val="en-US" w:eastAsia="zh-CN" w:bidi="ar-SA"/>
              </w:rPr>
            </w:pP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lang w:val="en-US" w:eastAsia="zh-CN" w:bidi="ar-SA"/>
              </w:rPr>
            </w:pP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lang w:val="en-US" w:eastAsia="zh-CN" w:bidi="ar-SA"/>
              </w:rPr>
            </w:pP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eastAsia="zh-CN"/>
              </w:rPr>
            </w:pPr>
          </w:p>
        </w:tc>
        <w:tc>
          <w:tcPr>
            <w:tcW w:w="616"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r>
      <w:tr>
        <w:tblPrEx>
          <w:tblLayout w:type="fixed"/>
          <w:tblCellMar>
            <w:top w:w="0" w:type="dxa"/>
            <w:left w:w="108" w:type="dxa"/>
            <w:bottom w:w="0" w:type="dxa"/>
            <w:right w:w="108" w:type="dxa"/>
          </w:tblCellMar>
        </w:tblPrEx>
        <w:trPr>
          <w:trHeight w:val="567"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83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 xml:space="preserve">      上年结转资金</w:t>
            </w:r>
          </w:p>
        </w:tc>
        <w:tc>
          <w:tcPr>
            <w:tcW w:w="1125"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bookmarkStart w:id="0" w:name="_GoBack"/>
            <w:bookmarkEnd w:id="0"/>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616"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r>
      <w:tr>
        <w:tblPrEx>
          <w:tblLayout w:type="fixed"/>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83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 xml:space="preserve">  其他资金</w:t>
            </w:r>
          </w:p>
        </w:tc>
        <w:tc>
          <w:tcPr>
            <w:tcW w:w="1125"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Cs w:val="21"/>
                <w:lang w:val="en-US" w:eastAsia="zh-CN"/>
              </w:rPr>
              <w:t>6.75</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Cs w:val="21"/>
                <w:lang w:val="en-US" w:eastAsia="zh-CN"/>
              </w:rPr>
              <w:t>6.75</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Cs w:val="21"/>
                <w:lang w:val="en-US" w:eastAsia="zh-CN"/>
              </w:rPr>
              <w:t>6.75</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100%</w:t>
            </w:r>
          </w:p>
        </w:tc>
        <w:tc>
          <w:tcPr>
            <w:tcW w:w="616"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r>
      <w:tr>
        <w:tblPrEx>
          <w:tblLayout w:type="fixed"/>
          <w:tblCellMar>
            <w:top w:w="0" w:type="dxa"/>
            <w:left w:w="108" w:type="dxa"/>
            <w:bottom w:w="0" w:type="dxa"/>
            <w:right w:w="108" w:type="dxa"/>
          </w:tblCellMar>
        </w:tblPrEx>
        <w:trPr>
          <w:trHeight w:val="343" w:hRule="exact"/>
          <w:jc w:val="center"/>
        </w:trPr>
        <w:tc>
          <w:tcPr>
            <w:tcW w:w="585"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年度总体目标</w:t>
            </w:r>
          </w:p>
        </w:tc>
        <w:tc>
          <w:tcPr>
            <w:tcW w:w="5066"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预期目标</w:t>
            </w:r>
          </w:p>
        </w:tc>
        <w:tc>
          <w:tcPr>
            <w:tcW w:w="3293"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实际完成情况</w:t>
            </w:r>
          </w:p>
        </w:tc>
      </w:tr>
      <w:tr>
        <w:tblPrEx>
          <w:tblLayout w:type="fixed"/>
          <w:tblCellMar>
            <w:top w:w="0" w:type="dxa"/>
            <w:left w:w="108" w:type="dxa"/>
            <w:bottom w:w="0" w:type="dxa"/>
            <w:right w:w="108" w:type="dxa"/>
          </w:tblCellMar>
        </w:tblPrEx>
        <w:trPr>
          <w:trHeight w:val="1707" w:hRule="exac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5066"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kern w:val="0"/>
                <w:szCs w:val="21"/>
              </w:rPr>
            </w:pPr>
            <w:r>
              <w:rPr>
                <w:rFonts w:hint="eastAsia" w:ascii="仿宋_GB2312" w:hAnsi="宋体" w:eastAsia="仿宋_GB2312" w:cs="宋体"/>
                <w:kern w:val="0"/>
                <w:szCs w:val="21"/>
              </w:rPr>
              <w:t>1、满足国家统计局对基本单位名录库的要求；</w:t>
            </w:r>
          </w:p>
          <w:p>
            <w:pPr>
              <w:widowControl/>
              <w:spacing w:line="240" w:lineRule="exact"/>
              <w:jc w:val="left"/>
              <w:rPr>
                <w:rFonts w:hint="eastAsia" w:ascii="仿宋_GB2312" w:hAnsi="宋体" w:eastAsia="仿宋_GB2312" w:cs="宋体"/>
                <w:kern w:val="0"/>
                <w:szCs w:val="21"/>
              </w:rPr>
            </w:pPr>
            <w:r>
              <w:rPr>
                <w:rFonts w:hint="eastAsia" w:ascii="仿宋_GB2312" w:hAnsi="宋体" w:eastAsia="仿宋_GB2312" w:cs="宋体"/>
                <w:kern w:val="0"/>
                <w:szCs w:val="21"/>
              </w:rPr>
              <w:t>2、为规模（限额）单位及时纳入专业统计提供依据；</w:t>
            </w:r>
          </w:p>
          <w:p>
            <w:pPr>
              <w:widowControl/>
              <w:spacing w:line="240" w:lineRule="exact"/>
              <w:jc w:val="left"/>
              <w:rPr>
                <w:rFonts w:hint="eastAsia" w:ascii="仿宋_GB2312" w:hAnsi="宋体" w:eastAsia="仿宋_GB2312" w:cs="宋体"/>
                <w:kern w:val="0"/>
                <w:szCs w:val="21"/>
              </w:rPr>
            </w:pPr>
            <w:r>
              <w:rPr>
                <w:rFonts w:hint="eastAsia" w:ascii="仿宋_GB2312" w:hAnsi="宋体" w:eastAsia="仿宋_GB2312" w:cs="宋体"/>
                <w:kern w:val="0"/>
                <w:szCs w:val="21"/>
              </w:rPr>
              <w:t>3、为统计数据真实反映北京市经济社会发展情况奠定基础。</w:t>
            </w:r>
            <w:r>
              <w:rPr>
                <w:rFonts w:hint="eastAsia" w:ascii="仿宋_GB2312" w:hAnsi="宋体" w:eastAsia="仿宋_GB2312" w:cs="宋体"/>
                <w:kern w:val="0"/>
                <w:szCs w:val="21"/>
              </w:rPr>
              <w:tab/>
            </w:r>
            <w:r>
              <w:rPr>
                <w:rFonts w:hint="eastAsia" w:ascii="仿宋_GB2312" w:hAnsi="宋体" w:eastAsia="仿宋_GB2312" w:cs="宋体"/>
                <w:kern w:val="0"/>
                <w:szCs w:val="21"/>
              </w:rPr>
              <w:tab/>
            </w:r>
            <w:r>
              <w:rPr>
                <w:rFonts w:hint="eastAsia" w:ascii="仿宋_GB2312" w:hAnsi="宋体" w:eastAsia="仿宋_GB2312" w:cs="宋体"/>
                <w:kern w:val="0"/>
                <w:szCs w:val="21"/>
              </w:rPr>
              <w:tab/>
            </w:r>
            <w:r>
              <w:rPr>
                <w:rFonts w:hint="eastAsia" w:ascii="仿宋_GB2312" w:hAnsi="宋体" w:eastAsia="仿宋_GB2312" w:cs="宋体"/>
                <w:kern w:val="0"/>
                <w:szCs w:val="21"/>
              </w:rPr>
              <w:tab/>
            </w:r>
            <w:r>
              <w:rPr>
                <w:rFonts w:hint="eastAsia" w:ascii="仿宋_GB2312" w:hAnsi="宋体" w:eastAsia="仿宋_GB2312" w:cs="宋体"/>
                <w:kern w:val="0"/>
                <w:szCs w:val="21"/>
              </w:rPr>
              <w:tab/>
            </w:r>
            <w:r>
              <w:rPr>
                <w:rFonts w:hint="eastAsia" w:ascii="仿宋_GB2312" w:hAnsi="宋体" w:eastAsia="仿宋_GB2312" w:cs="宋体"/>
                <w:kern w:val="0"/>
                <w:szCs w:val="21"/>
              </w:rPr>
              <w:tab/>
            </w:r>
          </w:p>
          <w:p>
            <w:pPr>
              <w:widowControl/>
              <w:spacing w:line="240" w:lineRule="exact"/>
              <w:jc w:val="left"/>
              <w:rPr>
                <w:rFonts w:hint="eastAsia" w:ascii="仿宋_GB2312" w:hAnsi="宋体" w:eastAsia="仿宋_GB2312" w:cs="宋体"/>
                <w:kern w:val="0"/>
                <w:sz w:val="21"/>
                <w:szCs w:val="21"/>
              </w:rPr>
            </w:pPr>
            <w:r>
              <w:rPr>
                <w:rFonts w:hint="eastAsia" w:ascii="仿宋_GB2312" w:hAnsi="宋体" w:eastAsia="仿宋_GB2312" w:cs="宋体"/>
                <w:kern w:val="0"/>
                <w:szCs w:val="21"/>
              </w:rPr>
              <w:tab/>
            </w:r>
            <w:r>
              <w:rPr>
                <w:rFonts w:hint="eastAsia" w:ascii="仿宋_GB2312" w:hAnsi="宋体" w:eastAsia="仿宋_GB2312" w:cs="宋体"/>
                <w:kern w:val="0"/>
                <w:szCs w:val="21"/>
              </w:rPr>
              <w:tab/>
            </w:r>
            <w:r>
              <w:rPr>
                <w:rFonts w:hint="eastAsia" w:ascii="仿宋_GB2312" w:hAnsi="宋体" w:eastAsia="仿宋_GB2312" w:cs="宋体"/>
                <w:kern w:val="0"/>
                <w:szCs w:val="21"/>
              </w:rPr>
              <w:tab/>
            </w:r>
            <w:r>
              <w:rPr>
                <w:rFonts w:hint="eastAsia" w:ascii="仿宋_GB2312" w:hAnsi="宋体" w:eastAsia="仿宋_GB2312" w:cs="宋体"/>
                <w:kern w:val="0"/>
                <w:szCs w:val="21"/>
              </w:rPr>
              <w:tab/>
            </w:r>
            <w:r>
              <w:rPr>
                <w:rFonts w:hint="eastAsia" w:ascii="仿宋_GB2312" w:hAnsi="宋体" w:eastAsia="仿宋_GB2312" w:cs="宋体"/>
                <w:kern w:val="0"/>
                <w:szCs w:val="21"/>
              </w:rPr>
              <w:tab/>
            </w:r>
            <w:r>
              <w:rPr>
                <w:rFonts w:hint="eastAsia" w:ascii="仿宋_GB2312" w:hAnsi="宋体" w:eastAsia="仿宋_GB2312" w:cs="宋体"/>
                <w:kern w:val="0"/>
                <w:szCs w:val="21"/>
              </w:rPr>
              <w:tab/>
            </w:r>
            <w:r>
              <w:rPr>
                <w:rFonts w:hint="eastAsia" w:ascii="仿宋_GB2312" w:hAnsi="宋体" w:eastAsia="仿宋_GB2312" w:cs="宋体"/>
                <w:kern w:val="0"/>
                <w:szCs w:val="21"/>
              </w:rPr>
              <w:tab/>
            </w:r>
          </w:p>
        </w:tc>
        <w:tc>
          <w:tcPr>
            <w:tcW w:w="3293" w:type="dxa"/>
            <w:gridSpan w:val="7"/>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kern w:val="0"/>
                <w:sz w:val="21"/>
                <w:szCs w:val="21"/>
              </w:rPr>
            </w:pPr>
            <w:r>
              <w:rPr>
                <w:rFonts w:hint="eastAsia" w:ascii="仿宋_GB2312" w:hAnsi="宋体" w:eastAsia="仿宋_GB2312" w:cs="宋体"/>
                <w:kern w:val="0"/>
                <w:szCs w:val="21"/>
                <w:lang w:eastAsia="zh-CN"/>
              </w:rPr>
              <w:t>按照北京市统计局整体布署和要求，采用“分级负责、相互配合”的工作模式，扎实开展202</w:t>
            </w:r>
            <w:r>
              <w:rPr>
                <w:rFonts w:hint="eastAsia" w:ascii="仿宋_GB2312" w:hAnsi="宋体" w:eastAsia="仿宋_GB2312" w:cs="宋体"/>
                <w:kern w:val="0"/>
                <w:szCs w:val="21"/>
                <w:lang w:val="en-US" w:eastAsia="zh-CN"/>
              </w:rPr>
              <w:t>2</w:t>
            </w:r>
            <w:r>
              <w:rPr>
                <w:rFonts w:hint="eastAsia" w:ascii="仿宋_GB2312" w:hAnsi="宋体" w:eastAsia="仿宋_GB2312" w:cs="宋体"/>
                <w:kern w:val="0"/>
                <w:szCs w:val="21"/>
                <w:lang w:eastAsia="zh-CN"/>
              </w:rPr>
              <w:t>年法人单位经营情况调查，综合查找率</w:t>
            </w:r>
            <w:r>
              <w:rPr>
                <w:rFonts w:hint="eastAsia" w:ascii="仿宋_GB2312" w:hAnsi="宋体" w:eastAsia="仿宋_GB2312" w:cs="宋体"/>
                <w:kern w:val="0"/>
                <w:szCs w:val="21"/>
                <w:lang w:val="en-US" w:eastAsia="zh-CN"/>
              </w:rPr>
              <w:t>95.4</w:t>
            </w:r>
            <w:r>
              <w:rPr>
                <w:rFonts w:hint="eastAsia" w:ascii="仿宋_GB2312" w:hAnsi="宋体" w:eastAsia="仿宋_GB2312" w:cs="宋体"/>
                <w:kern w:val="0"/>
                <w:szCs w:val="21"/>
                <w:lang w:eastAsia="zh-CN"/>
              </w:rPr>
              <w:t>%，通过调查，初步预计新增单位</w:t>
            </w:r>
            <w:r>
              <w:rPr>
                <w:rFonts w:hint="eastAsia" w:ascii="仿宋_GB2312" w:hAnsi="宋体" w:eastAsia="仿宋_GB2312" w:cs="宋体"/>
                <w:kern w:val="0"/>
                <w:szCs w:val="21"/>
                <w:lang w:val="en-US" w:eastAsia="zh-CN"/>
              </w:rPr>
              <w:t>159家，最终</w:t>
            </w:r>
            <w:r>
              <w:rPr>
                <w:rFonts w:hint="eastAsia" w:ascii="仿宋_GB2312" w:hAnsi="宋体" w:eastAsia="仿宋_GB2312" w:cs="宋体"/>
                <w:kern w:val="0"/>
                <w:szCs w:val="21"/>
                <w:lang w:eastAsia="zh-CN"/>
              </w:rPr>
              <w:t>年度审批新增纳入</w:t>
            </w:r>
            <w:r>
              <w:rPr>
                <w:rFonts w:hint="eastAsia" w:ascii="仿宋_GB2312" w:hAnsi="宋体" w:eastAsia="仿宋_GB2312" w:cs="宋体"/>
                <w:kern w:val="0"/>
                <w:szCs w:val="21"/>
                <w:lang w:val="en-US" w:eastAsia="zh-CN"/>
              </w:rPr>
              <w:t>114家</w:t>
            </w:r>
            <w:r>
              <w:rPr>
                <w:rFonts w:hint="eastAsia" w:ascii="仿宋_GB2312" w:hAnsi="宋体" w:eastAsia="仿宋_GB2312" w:cs="宋体"/>
                <w:kern w:val="0"/>
                <w:szCs w:val="21"/>
                <w:lang w:eastAsia="zh-CN"/>
              </w:rPr>
              <w:t>。</w:t>
            </w:r>
          </w:p>
        </w:tc>
      </w:tr>
      <w:tr>
        <w:tblPrEx>
          <w:tblLayout w:type="fixed"/>
          <w:tblCellMar>
            <w:top w:w="0" w:type="dxa"/>
            <w:left w:w="108" w:type="dxa"/>
            <w:bottom w:w="0" w:type="dxa"/>
            <w:right w:w="108" w:type="dxa"/>
          </w:tblCellMar>
        </w:tblPrEx>
        <w:trPr>
          <w:trHeight w:val="855" w:hRule="exact"/>
          <w:jc w:val="center"/>
        </w:trPr>
        <w:tc>
          <w:tcPr>
            <w:tcW w:w="58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绩</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效</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指</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标</w:t>
            </w:r>
          </w:p>
        </w:tc>
        <w:tc>
          <w:tcPr>
            <w:tcW w:w="9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一级指标</w:t>
            </w:r>
          </w:p>
        </w:tc>
        <w:tc>
          <w:tcPr>
            <w:tcW w:w="110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二级指标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三级指标</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年度</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指标值</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实际</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完成值</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分值</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得分</w:t>
            </w:r>
          </w:p>
        </w:tc>
        <w:tc>
          <w:tcPr>
            <w:tcW w:w="131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偏差原因分析及改进</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措施</w:t>
            </w:r>
          </w:p>
        </w:tc>
      </w:tr>
      <w:tr>
        <w:tblPrEx>
          <w:tblLayout w:type="fixed"/>
          <w:tblCellMar>
            <w:top w:w="0" w:type="dxa"/>
            <w:left w:w="108" w:type="dxa"/>
            <w:bottom w:w="0" w:type="dxa"/>
            <w:right w:w="108" w:type="dxa"/>
          </w:tblCellMar>
        </w:tblPrEx>
        <w:trPr>
          <w:trHeight w:val="751"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97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产出指标</w:t>
            </w: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数量指标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Cs w:val="21"/>
                <w:lang w:eastAsia="zh-CN"/>
              </w:rPr>
              <w:t>填报《</w:t>
            </w:r>
            <w:r>
              <w:rPr>
                <w:rFonts w:hint="eastAsia" w:ascii="仿宋_GB2312" w:hAnsi="宋体" w:eastAsia="仿宋_GB2312" w:cs="宋体"/>
                <w:color w:val="000000"/>
                <w:kern w:val="0"/>
                <w:szCs w:val="21"/>
              </w:rPr>
              <w:t>法人单位经营情况表</w:t>
            </w:r>
            <w:r>
              <w:rPr>
                <w:rFonts w:hint="eastAsia" w:ascii="仿宋_GB2312" w:hAnsi="宋体" w:eastAsia="仿宋_GB2312" w:cs="宋体"/>
                <w:color w:val="000000"/>
                <w:kern w:val="0"/>
                <w:szCs w:val="21"/>
                <w:lang w:eastAsia="zh-CN"/>
              </w:rPr>
              <w:t>》调查单位数</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≥1350</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1353</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Cs w:val="21"/>
                <w:lang w:val="en-US" w:eastAsia="zh-CN"/>
              </w:rPr>
              <w:t>20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20</w:t>
            </w:r>
          </w:p>
        </w:tc>
        <w:tc>
          <w:tcPr>
            <w:tcW w:w="1319"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kern w:val="0"/>
                <w:sz w:val="21"/>
                <w:szCs w:val="21"/>
              </w:rPr>
            </w:pPr>
          </w:p>
        </w:tc>
      </w:tr>
      <w:tr>
        <w:tblPrEx>
          <w:tblLayout w:type="fixed"/>
          <w:tblCellMar>
            <w:top w:w="0" w:type="dxa"/>
            <w:left w:w="108" w:type="dxa"/>
            <w:bottom w:w="0" w:type="dxa"/>
            <w:right w:w="108" w:type="dxa"/>
          </w:tblCellMar>
        </w:tblPrEx>
        <w:trPr>
          <w:trHeight w:val="1240"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质量指标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Cs w:val="21"/>
              </w:rPr>
              <w:t>市区两级数据匹配,单位基本情况和相关数据准确。</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rPr>
            </w:pPr>
            <w:r>
              <w:rPr>
                <w:rFonts w:hint="eastAsia" w:ascii="仿宋_GB2312" w:hAnsi="宋体" w:eastAsia="仿宋_GB2312" w:cs="宋体"/>
                <w:kern w:val="0"/>
                <w:szCs w:val="21"/>
                <w:lang w:eastAsia="zh-CN"/>
              </w:rPr>
              <w:t>≥</w:t>
            </w:r>
            <w:r>
              <w:rPr>
                <w:rFonts w:hint="eastAsia" w:ascii="仿宋_GB2312" w:hAnsi="宋体" w:eastAsia="仿宋_GB2312" w:cs="宋体"/>
                <w:kern w:val="0"/>
                <w:szCs w:val="21"/>
                <w:lang w:val="en-US" w:eastAsia="zh-CN"/>
              </w:rPr>
              <w:t>90%</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rPr>
            </w:pPr>
            <w:r>
              <w:rPr>
                <w:rFonts w:hint="eastAsia" w:ascii="仿宋_GB2312" w:hAnsi="宋体" w:eastAsia="仿宋_GB2312" w:cs="宋体"/>
                <w:kern w:val="0"/>
                <w:szCs w:val="21"/>
                <w:lang w:val="en-US" w:eastAsia="zh-CN"/>
              </w:rPr>
              <w:t>95.4%</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Cs w:val="21"/>
                <w:lang w:val="en-US" w:eastAsia="zh-CN"/>
              </w:rPr>
              <w:t>10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default" w:ascii="仿宋_GB2312" w:hAnsi="宋体" w:eastAsia="仿宋_GB2312" w:cs="宋体"/>
                <w:kern w:val="0"/>
                <w:szCs w:val="21"/>
                <w:lang w:val="en-US" w:eastAsia="zh-CN"/>
              </w:rPr>
              <w:t>9</w:t>
            </w:r>
          </w:p>
        </w:tc>
        <w:tc>
          <w:tcPr>
            <w:tcW w:w="1319"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kern w:val="0"/>
                <w:sz w:val="21"/>
                <w:szCs w:val="21"/>
              </w:rPr>
            </w:pPr>
            <w:r>
              <w:rPr>
                <w:rFonts w:hint="eastAsia" w:ascii="仿宋_GB2312" w:hAnsi="宋体" w:eastAsia="仿宋_GB2312" w:cs="宋体"/>
                <w:kern w:val="0"/>
                <w:sz w:val="18"/>
                <w:szCs w:val="18"/>
                <w:lang w:eastAsia="zh-CN"/>
              </w:rPr>
              <w:t>综合查找率</w:t>
            </w:r>
            <w:r>
              <w:rPr>
                <w:rFonts w:hint="eastAsia" w:ascii="仿宋_GB2312" w:hAnsi="宋体" w:eastAsia="仿宋_GB2312" w:cs="宋体"/>
                <w:kern w:val="0"/>
                <w:sz w:val="18"/>
                <w:szCs w:val="18"/>
                <w:lang w:val="en-US" w:eastAsia="zh-CN"/>
              </w:rPr>
              <w:t>95.4</w:t>
            </w:r>
            <w:r>
              <w:rPr>
                <w:rFonts w:hint="eastAsia" w:ascii="仿宋_GB2312" w:hAnsi="宋体" w:eastAsia="仿宋_GB2312" w:cs="宋体"/>
                <w:kern w:val="0"/>
                <w:sz w:val="18"/>
                <w:szCs w:val="18"/>
                <w:lang w:eastAsia="zh-CN"/>
              </w:rPr>
              <w:t>%，符合市局要求，但仍有提升空间。</w:t>
            </w:r>
          </w:p>
        </w:tc>
      </w:tr>
      <w:tr>
        <w:tblPrEx>
          <w:tblLayout w:type="fixed"/>
          <w:tblCellMar>
            <w:top w:w="0" w:type="dxa"/>
            <w:left w:w="108" w:type="dxa"/>
            <w:bottom w:w="0" w:type="dxa"/>
            <w:right w:w="108" w:type="dxa"/>
          </w:tblCellMar>
        </w:tblPrEx>
        <w:trPr>
          <w:trHeight w:val="851"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10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时效指标</w:t>
            </w:r>
          </w:p>
        </w:tc>
        <w:tc>
          <w:tcPr>
            <w:tcW w:w="2137"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 w:val="21"/>
                <w:szCs w:val="21"/>
              </w:rPr>
            </w:pPr>
            <w:r>
              <w:rPr>
                <w:rFonts w:hint="eastAsia" w:ascii="仿宋_GB2312" w:hAnsi="宋体" w:eastAsia="仿宋_GB2312" w:cs="宋体"/>
                <w:kern w:val="0"/>
                <w:sz w:val="21"/>
                <w:szCs w:val="21"/>
                <w:lang w:val="en-US" w:eastAsia="zh-CN" w:bidi="ar-SA"/>
              </w:rPr>
              <w:t>8月-9月数据收集、审核、评估和汇总</w:t>
            </w:r>
          </w:p>
        </w:tc>
        <w:tc>
          <w:tcPr>
            <w:tcW w:w="84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both"/>
              <w:rPr>
                <w:rFonts w:hint="default" w:ascii="仿宋_GB2312" w:hAnsi="宋体" w:eastAsia="仿宋_GB2312" w:cs="宋体"/>
                <w:kern w:val="0"/>
                <w:sz w:val="21"/>
                <w:szCs w:val="21"/>
                <w:lang w:val="en-US" w:eastAsia="zh-CN" w:bidi="ar-SA"/>
              </w:rPr>
            </w:pPr>
            <w:r>
              <w:rPr>
                <w:rFonts w:hint="eastAsia" w:ascii="仿宋_GB2312" w:hAnsi="宋体" w:eastAsia="仿宋_GB2312" w:cs="宋体"/>
                <w:kern w:val="0"/>
                <w:sz w:val="21"/>
                <w:szCs w:val="21"/>
                <w:lang w:val="en-US" w:eastAsia="zh-CN" w:bidi="ar-SA"/>
              </w:rPr>
              <w:t>≤</w:t>
            </w:r>
            <w:r>
              <w:rPr>
                <w:rFonts w:hint="default" w:ascii="仿宋_GB2312" w:hAnsi="宋体" w:eastAsia="仿宋_GB2312" w:cs="宋体"/>
                <w:kern w:val="0"/>
                <w:sz w:val="21"/>
                <w:szCs w:val="21"/>
                <w:lang w:val="en-US" w:eastAsia="zh-CN" w:bidi="ar-SA"/>
              </w:rPr>
              <w:t>9</w:t>
            </w:r>
          </w:p>
        </w:tc>
        <w:tc>
          <w:tcPr>
            <w:tcW w:w="84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eastAsia="zh-CN" w:bidi="ar-SA"/>
              </w:rPr>
            </w:pPr>
            <w:r>
              <w:rPr>
                <w:rFonts w:hint="default" w:ascii="仿宋_GB2312" w:hAnsi="宋体" w:eastAsia="仿宋_GB2312" w:cs="宋体"/>
                <w:kern w:val="0"/>
                <w:sz w:val="21"/>
                <w:szCs w:val="21"/>
                <w:lang w:val="en-US" w:eastAsia="zh-CN" w:bidi="ar-SA"/>
              </w:rPr>
              <w:t>9</w:t>
            </w:r>
            <w:r>
              <w:rPr>
                <w:rFonts w:hint="eastAsia" w:ascii="仿宋_GB2312" w:hAnsi="宋体" w:eastAsia="仿宋_GB2312" w:cs="宋体"/>
                <w:kern w:val="0"/>
                <w:sz w:val="21"/>
                <w:szCs w:val="21"/>
                <w:lang w:val="en-US" w:eastAsia="zh-CN" w:bidi="ar-SA"/>
              </w:rPr>
              <w:t>月</w:t>
            </w:r>
          </w:p>
        </w:tc>
        <w:tc>
          <w:tcPr>
            <w:tcW w:w="56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eastAsia="zh-CN" w:bidi="ar-SA"/>
              </w:rPr>
            </w:pPr>
            <w:r>
              <w:rPr>
                <w:rFonts w:hint="default" w:ascii="仿宋_GB2312" w:hAnsi="宋体" w:eastAsia="仿宋_GB2312" w:cs="宋体"/>
                <w:kern w:val="0"/>
                <w:sz w:val="21"/>
                <w:szCs w:val="21"/>
                <w:lang w:val="en-US" w:eastAsia="zh-CN" w:bidi="ar-SA"/>
              </w:rPr>
              <w:t>5</w:t>
            </w:r>
          </w:p>
        </w:tc>
        <w:tc>
          <w:tcPr>
            <w:tcW w:w="56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eastAsia="zh-CN" w:bidi="ar-SA"/>
              </w:rPr>
            </w:pPr>
            <w:r>
              <w:rPr>
                <w:rFonts w:hint="default" w:ascii="仿宋_GB2312" w:hAnsi="宋体" w:eastAsia="仿宋_GB2312" w:cs="宋体"/>
                <w:kern w:val="0"/>
                <w:sz w:val="21"/>
                <w:szCs w:val="21"/>
                <w:lang w:val="en-US" w:eastAsia="zh-CN" w:bidi="ar-SA"/>
              </w:rPr>
              <w:t>5</w:t>
            </w:r>
          </w:p>
        </w:tc>
        <w:tc>
          <w:tcPr>
            <w:tcW w:w="131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r>
      <w:tr>
        <w:tblPrEx>
          <w:tblLayout w:type="fixed"/>
          <w:tblCellMar>
            <w:top w:w="0" w:type="dxa"/>
            <w:left w:w="108" w:type="dxa"/>
            <w:bottom w:w="0" w:type="dxa"/>
            <w:right w:w="108" w:type="dxa"/>
          </w:tblCellMar>
        </w:tblPrEx>
        <w:trPr>
          <w:trHeight w:val="78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2137"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Cs w:val="21"/>
                <w:lang w:val="en-US" w:eastAsia="zh-CN"/>
              </w:rPr>
              <w:t>10-12月为各专业调查年度审核提供依据</w:t>
            </w:r>
          </w:p>
        </w:tc>
        <w:tc>
          <w:tcPr>
            <w:tcW w:w="84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both"/>
              <w:rPr>
                <w:rFonts w:hint="default" w:ascii="仿宋_GB2312" w:hAnsi="宋体" w:eastAsia="仿宋_GB2312" w:cs="宋体"/>
                <w:kern w:val="0"/>
                <w:sz w:val="21"/>
                <w:szCs w:val="21"/>
                <w:lang w:val="en-US"/>
              </w:rPr>
            </w:pPr>
            <w:r>
              <w:rPr>
                <w:rFonts w:hint="eastAsia" w:ascii="仿宋_GB2312" w:hAnsi="宋体" w:eastAsia="仿宋_GB2312" w:cs="宋体"/>
                <w:kern w:val="0"/>
                <w:sz w:val="21"/>
                <w:szCs w:val="21"/>
                <w:lang w:val="en-US" w:eastAsia="zh-CN" w:bidi="ar-SA"/>
              </w:rPr>
              <w:t>≤</w:t>
            </w:r>
            <w:r>
              <w:rPr>
                <w:rFonts w:hint="default" w:ascii="仿宋_GB2312" w:hAnsi="宋体" w:eastAsia="仿宋_GB2312" w:cs="宋体"/>
                <w:kern w:val="0"/>
                <w:sz w:val="21"/>
                <w:szCs w:val="21"/>
                <w:lang w:val="en-US" w:eastAsia="zh-CN" w:bidi="ar-SA"/>
              </w:rPr>
              <w:t>12</w:t>
            </w:r>
          </w:p>
        </w:tc>
        <w:tc>
          <w:tcPr>
            <w:tcW w:w="84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lang w:val="en-US" w:eastAsia="zh-CN"/>
              </w:rPr>
            </w:pPr>
            <w:r>
              <w:rPr>
                <w:rFonts w:hint="default" w:ascii="仿宋_GB2312" w:hAnsi="宋体" w:eastAsia="仿宋_GB2312" w:cs="宋体"/>
                <w:kern w:val="0"/>
                <w:sz w:val="21"/>
                <w:szCs w:val="21"/>
                <w:lang w:val="en-US"/>
              </w:rPr>
              <w:t>12</w:t>
            </w:r>
            <w:r>
              <w:rPr>
                <w:rFonts w:hint="eastAsia" w:ascii="仿宋_GB2312" w:hAnsi="宋体" w:eastAsia="仿宋_GB2312" w:cs="宋体"/>
                <w:kern w:val="0"/>
                <w:sz w:val="21"/>
                <w:szCs w:val="21"/>
                <w:lang w:val="en-US" w:eastAsia="zh-CN"/>
              </w:rPr>
              <w:t>月</w:t>
            </w:r>
          </w:p>
        </w:tc>
        <w:tc>
          <w:tcPr>
            <w:tcW w:w="56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rPr>
            </w:pPr>
            <w:r>
              <w:rPr>
                <w:rFonts w:hint="default" w:ascii="仿宋_GB2312" w:hAnsi="宋体" w:eastAsia="仿宋_GB2312" w:cs="宋体"/>
                <w:kern w:val="0"/>
                <w:sz w:val="21"/>
                <w:szCs w:val="21"/>
                <w:lang w:val="en-US"/>
              </w:rPr>
              <w:t>5</w:t>
            </w:r>
          </w:p>
        </w:tc>
        <w:tc>
          <w:tcPr>
            <w:tcW w:w="56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rPr>
            </w:pPr>
            <w:r>
              <w:rPr>
                <w:rFonts w:hint="default" w:ascii="仿宋_GB2312" w:hAnsi="宋体" w:eastAsia="仿宋_GB2312" w:cs="宋体"/>
                <w:kern w:val="0"/>
                <w:sz w:val="21"/>
                <w:szCs w:val="21"/>
                <w:lang w:val="en-US"/>
              </w:rPr>
              <w:t>5</w:t>
            </w:r>
          </w:p>
        </w:tc>
        <w:tc>
          <w:tcPr>
            <w:tcW w:w="131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r>
      <w:tr>
        <w:tblPrEx>
          <w:tblLayout w:type="fixed"/>
          <w:tblCellMar>
            <w:top w:w="0" w:type="dxa"/>
            <w:left w:w="108" w:type="dxa"/>
            <w:bottom w:w="0" w:type="dxa"/>
            <w:right w:w="108" w:type="dxa"/>
          </w:tblCellMar>
        </w:tblPrEx>
        <w:trPr>
          <w:trHeight w:val="451"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成本指标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Cs w:val="21"/>
              </w:rPr>
              <w:t>项目预算控制数</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Cs w:val="21"/>
                <w:lang w:val="en-US" w:eastAsia="zh-CN"/>
              </w:rPr>
              <w:t>≤6.75万</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Cs w:val="21"/>
                <w:lang w:val="en-US" w:eastAsia="zh-CN"/>
              </w:rPr>
              <w:t>6.75万</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Cs w:val="21"/>
                <w:lang w:val="en-US" w:eastAsia="zh-CN"/>
              </w:rPr>
              <w:t>10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Cs w:val="21"/>
                <w:lang w:val="en-US" w:eastAsia="zh-CN"/>
              </w:rPr>
              <w:t>10</w:t>
            </w:r>
          </w:p>
        </w:tc>
        <w:tc>
          <w:tcPr>
            <w:tcW w:w="131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r>
      <w:tr>
        <w:tblPrEx>
          <w:tblLayout w:type="fixed"/>
          <w:tblCellMar>
            <w:top w:w="0" w:type="dxa"/>
            <w:left w:w="108" w:type="dxa"/>
            <w:bottom w:w="0" w:type="dxa"/>
            <w:right w:w="108" w:type="dxa"/>
          </w:tblCellMar>
        </w:tblPrEx>
        <w:trPr>
          <w:trHeight w:val="201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效益指标</w:t>
            </w: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可持续影响指标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仿宋_GB2312" w:hAnsi="宋体" w:eastAsia="仿宋_GB2312" w:cs="宋体"/>
                <w:color w:val="000000"/>
                <w:kern w:val="0"/>
                <w:sz w:val="21"/>
                <w:szCs w:val="21"/>
                <w:lang w:val="en-US"/>
              </w:rPr>
            </w:pPr>
            <w:r>
              <w:rPr>
                <w:rFonts w:hint="eastAsia" w:ascii="仿宋_GB2312" w:hAnsi="宋体" w:eastAsia="仿宋_GB2312" w:cs="宋体"/>
                <w:color w:val="000000"/>
                <w:kern w:val="0"/>
                <w:sz w:val="21"/>
                <w:szCs w:val="21"/>
              </w:rPr>
              <w:t>为年报单位增减审核工作提供依据，确保调查单位不重不漏，为统计数据真实反映北京市经济社会发展情况奠定基础。</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rPr>
            </w:pPr>
            <w:r>
              <w:rPr>
                <w:rFonts w:hint="eastAsia" w:ascii="仿宋_GB2312" w:hAnsi="宋体" w:eastAsia="仿宋_GB2312" w:cs="宋体"/>
                <w:kern w:val="0"/>
                <w:sz w:val="21"/>
                <w:szCs w:val="21"/>
                <w:lang w:val="en-US" w:eastAsia="zh-CN"/>
              </w:rPr>
              <w:t>≥</w:t>
            </w:r>
            <w:r>
              <w:rPr>
                <w:rFonts w:hint="default" w:ascii="仿宋_GB2312" w:hAnsi="宋体" w:eastAsia="仿宋_GB2312" w:cs="宋体"/>
                <w:kern w:val="0"/>
                <w:sz w:val="21"/>
                <w:szCs w:val="21"/>
                <w:lang w:val="en-US" w:eastAsia="zh-CN"/>
              </w:rPr>
              <w:t>95%</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rPr>
            </w:pPr>
            <w:r>
              <w:rPr>
                <w:rFonts w:hint="default" w:ascii="仿宋_GB2312" w:hAnsi="宋体" w:eastAsia="仿宋_GB2312" w:cs="宋体"/>
                <w:kern w:val="0"/>
                <w:szCs w:val="21"/>
                <w:lang w:val="en-US" w:eastAsia="zh-CN"/>
              </w:rPr>
              <w:t>95.4%</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Cs w:val="21"/>
                <w:lang w:val="en-US" w:eastAsia="zh-CN"/>
              </w:rPr>
              <w:t>30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rPr>
            </w:pPr>
            <w:r>
              <w:rPr>
                <w:rFonts w:hint="eastAsia" w:ascii="仿宋_GB2312" w:hAnsi="宋体" w:eastAsia="仿宋_GB2312" w:cs="宋体"/>
                <w:kern w:val="0"/>
                <w:szCs w:val="21"/>
                <w:lang w:val="en-US" w:eastAsia="zh-CN"/>
              </w:rPr>
              <w:t>27</w:t>
            </w:r>
          </w:p>
        </w:tc>
        <w:tc>
          <w:tcPr>
            <w:tcW w:w="1319" w:type="dxa"/>
            <w:gridSpan w:val="2"/>
            <w:tcBorders>
              <w:top w:val="single" w:color="auto" w:sz="4" w:space="0"/>
              <w:left w:val="nil"/>
              <w:bottom w:val="single" w:color="auto" w:sz="4" w:space="0"/>
              <w:right w:val="single" w:color="auto" w:sz="4" w:space="0"/>
            </w:tcBorders>
            <w:vAlign w:val="center"/>
          </w:tcPr>
          <w:p>
            <w:pPr>
              <w:widowControl/>
              <w:spacing w:line="240" w:lineRule="exact"/>
              <w:jc w:val="both"/>
              <w:rPr>
                <w:rFonts w:hint="eastAsia" w:ascii="仿宋_GB2312" w:hAnsi="宋体" w:eastAsia="仿宋_GB2312" w:cs="宋体"/>
                <w:kern w:val="0"/>
                <w:sz w:val="21"/>
                <w:szCs w:val="21"/>
              </w:rPr>
            </w:pPr>
            <w:r>
              <w:rPr>
                <w:rFonts w:hint="eastAsia" w:ascii="仿宋_GB2312" w:hAnsi="宋体" w:eastAsia="仿宋_GB2312" w:cs="宋体"/>
                <w:kern w:val="0"/>
                <w:sz w:val="18"/>
                <w:szCs w:val="18"/>
                <w:lang w:eastAsia="zh-CN"/>
              </w:rPr>
              <w:t>提高调查单位查找率和填报率，将达到规模限额标准的单位及时反馈专业纳入调查单位年度审批。</w:t>
            </w:r>
          </w:p>
        </w:tc>
      </w:tr>
      <w:tr>
        <w:tblPrEx>
          <w:tblLayout w:type="fixed"/>
          <w:tblCellMar>
            <w:top w:w="0" w:type="dxa"/>
            <w:left w:w="108" w:type="dxa"/>
            <w:bottom w:w="0" w:type="dxa"/>
            <w:right w:w="108" w:type="dxa"/>
          </w:tblCellMar>
        </w:tblPrEx>
        <w:trPr>
          <w:trHeight w:val="164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满意度</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指标</w:t>
            </w: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服务对象满意度标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Cs w:val="21"/>
              </w:rPr>
              <w:t>满足局队对各专业年季度统计及各类统计调查项目的单位名录数据使用需求；满足市局对各区调查单位增减上报要求。</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lang w:val="en-US" w:eastAsia="zh-CN" w:bidi="ar-SA"/>
              </w:rPr>
            </w:pPr>
            <w:r>
              <w:rPr>
                <w:rFonts w:hint="eastAsia" w:ascii="仿宋_GB2312" w:hAnsi="宋体" w:eastAsia="仿宋_GB2312" w:cs="宋体"/>
                <w:kern w:val="0"/>
                <w:sz w:val="21"/>
                <w:szCs w:val="21"/>
                <w:lang w:val="en-US" w:eastAsia="zh-CN"/>
              </w:rPr>
              <w:t>≥</w:t>
            </w:r>
            <w:r>
              <w:rPr>
                <w:rFonts w:hint="default" w:ascii="仿宋_GB2312" w:hAnsi="宋体" w:eastAsia="仿宋_GB2312" w:cs="宋体"/>
                <w:kern w:val="0"/>
                <w:sz w:val="21"/>
                <w:szCs w:val="21"/>
                <w:lang w:val="en-US" w:eastAsia="zh-CN"/>
              </w:rPr>
              <w:t>95%</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lang w:val="en-US" w:eastAsia="zh-CN" w:bidi="ar-SA"/>
              </w:rPr>
            </w:pPr>
            <w:r>
              <w:rPr>
                <w:rFonts w:hint="default" w:ascii="仿宋_GB2312" w:hAnsi="宋体" w:eastAsia="仿宋_GB2312" w:cs="宋体"/>
                <w:kern w:val="0"/>
                <w:szCs w:val="21"/>
                <w:lang w:val="en-US" w:eastAsia="zh-CN"/>
              </w:rPr>
              <w:t>95.4%</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Cs w:val="21"/>
                <w:lang w:val="en-US" w:eastAsia="zh-CN"/>
              </w:rPr>
              <w:t>10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Cs w:val="21"/>
                <w:lang w:val="en-US" w:eastAsia="zh-CN"/>
              </w:rPr>
              <w:t>9</w:t>
            </w:r>
          </w:p>
        </w:tc>
        <w:tc>
          <w:tcPr>
            <w:tcW w:w="1319" w:type="dxa"/>
            <w:gridSpan w:val="2"/>
            <w:tcBorders>
              <w:top w:val="single" w:color="auto" w:sz="4" w:space="0"/>
              <w:left w:val="nil"/>
              <w:bottom w:val="single" w:color="auto" w:sz="4" w:space="0"/>
              <w:right w:val="single" w:color="auto" w:sz="4" w:space="0"/>
            </w:tcBorders>
            <w:vAlign w:val="center"/>
          </w:tcPr>
          <w:p>
            <w:pPr>
              <w:widowControl/>
              <w:spacing w:line="240" w:lineRule="exact"/>
              <w:jc w:val="both"/>
              <w:rPr>
                <w:rFonts w:hint="default" w:ascii="仿宋_GB2312" w:hAnsi="宋体" w:eastAsia="仿宋_GB2312" w:cs="宋体"/>
                <w:kern w:val="0"/>
                <w:sz w:val="21"/>
                <w:szCs w:val="21"/>
                <w:lang w:val="en-US"/>
              </w:rPr>
            </w:pPr>
            <w:r>
              <w:rPr>
                <w:rFonts w:hint="eastAsia" w:ascii="仿宋_GB2312" w:hAnsi="宋体" w:eastAsia="仿宋_GB2312" w:cs="宋体"/>
                <w:kern w:val="0"/>
                <w:sz w:val="18"/>
                <w:szCs w:val="18"/>
                <w:lang w:eastAsia="zh-CN"/>
              </w:rPr>
              <w:t>综合查找率</w:t>
            </w:r>
            <w:r>
              <w:rPr>
                <w:rFonts w:hint="eastAsia" w:ascii="仿宋_GB2312" w:hAnsi="宋体" w:eastAsia="仿宋_GB2312" w:cs="宋体"/>
                <w:kern w:val="0"/>
                <w:sz w:val="18"/>
                <w:szCs w:val="18"/>
                <w:lang w:val="en-US" w:eastAsia="zh-CN"/>
              </w:rPr>
              <w:t>95.4</w:t>
            </w:r>
            <w:r>
              <w:rPr>
                <w:rFonts w:hint="eastAsia" w:ascii="仿宋_GB2312" w:hAnsi="宋体" w:eastAsia="仿宋_GB2312" w:cs="宋体"/>
                <w:kern w:val="0"/>
                <w:sz w:val="18"/>
                <w:szCs w:val="18"/>
                <w:lang w:eastAsia="zh-CN"/>
              </w:rPr>
              <w:t>%，达到预期目标，</w:t>
            </w:r>
            <w:r>
              <w:rPr>
                <w:rFonts w:hint="eastAsia" w:ascii="仿宋_GB2312" w:hAnsi="宋体" w:eastAsia="仿宋_GB2312" w:cs="宋体"/>
                <w:kern w:val="0"/>
                <w:sz w:val="18"/>
                <w:szCs w:val="18"/>
                <w:lang w:val="en-US" w:eastAsia="zh-CN"/>
              </w:rPr>
              <w:t>最终</w:t>
            </w:r>
            <w:r>
              <w:rPr>
                <w:rFonts w:hint="eastAsia" w:ascii="仿宋_GB2312" w:hAnsi="宋体" w:eastAsia="仿宋_GB2312" w:cs="宋体"/>
                <w:kern w:val="0"/>
                <w:sz w:val="18"/>
                <w:szCs w:val="18"/>
                <w:lang w:eastAsia="zh-CN"/>
              </w:rPr>
              <w:t>年度审批新增纳入</w:t>
            </w:r>
            <w:r>
              <w:rPr>
                <w:rFonts w:hint="eastAsia" w:ascii="仿宋_GB2312" w:hAnsi="宋体" w:eastAsia="仿宋_GB2312" w:cs="宋体"/>
                <w:kern w:val="0"/>
                <w:sz w:val="18"/>
                <w:szCs w:val="18"/>
                <w:lang w:val="en-US" w:eastAsia="zh-CN"/>
              </w:rPr>
              <w:t>114家</w:t>
            </w:r>
            <w:r>
              <w:rPr>
                <w:rFonts w:hint="eastAsia" w:ascii="仿宋_GB2312" w:hAnsi="宋体" w:eastAsia="仿宋_GB2312" w:cs="宋体"/>
                <w:kern w:val="0"/>
                <w:sz w:val="18"/>
                <w:szCs w:val="18"/>
                <w:lang w:eastAsia="zh-CN"/>
              </w:rPr>
              <w:t>。</w:t>
            </w:r>
          </w:p>
        </w:tc>
      </w:tr>
      <w:tr>
        <w:tblPrEx>
          <w:tblLayout w:type="fixed"/>
          <w:tblCellMar>
            <w:top w:w="0" w:type="dxa"/>
            <w:left w:w="108" w:type="dxa"/>
            <w:bottom w:w="0" w:type="dxa"/>
            <w:right w:w="108" w:type="dxa"/>
          </w:tblCellMar>
        </w:tblPrEx>
        <w:trPr>
          <w:trHeight w:val="477" w:hRule="exact"/>
          <w:jc w:val="center"/>
        </w:trPr>
        <w:tc>
          <w:tcPr>
            <w:tcW w:w="6499"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总分</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100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color w:val="000000"/>
                <w:kern w:val="0"/>
                <w:sz w:val="21"/>
                <w:szCs w:val="21"/>
                <w:lang w:val="en-US" w:eastAsia="zh-CN"/>
              </w:rPr>
            </w:pPr>
            <w:r>
              <w:rPr>
                <w:rFonts w:hint="eastAsia" w:ascii="仿宋_GB2312" w:hAnsi="宋体" w:eastAsia="仿宋_GB2312" w:cs="宋体"/>
                <w:color w:val="000000"/>
                <w:kern w:val="0"/>
                <w:sz w:val="21"/>
                <w:szCs w:val="21"/>
                <w:lang w:val="en-US" w:eastAsia="zh-CN"/>
              </w:rPr>
              <w:t>95</w:t>
            </w:r>
          </w:p>
        </w:tc>
        <w:tc>
          <w:tcPr>
            <w:tcW w:w="131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r>
    </w:tbl>
    <w:p>
      <w:pPr>
        <w:rPr>
          <w:rFonts w:hint="eastAsia" w:ascii="仿宋_GB2312" w:eastAsia="仿宋_GB2312"/>
          <w:vanish/>
          <w:sz w:val="32"/>
          <w:szCs w:val="32"/>
        </w:rPr>
      </w:pPr>
    </w:p>
    <w:p>
      <w:pPr>
        <w:widowControl/>
        <w:jc w:val="left"/>
        <w:rPr>
          <w:rFonts w:ascii="仿宋_GB2312" w:hAnsi="宋体" w:eastAsia="仿宋_GB2312" w:cs="宋体"/>
          <w:color w:val="000000"/>
          <w:kern w:val="0"/>
          <w:sz w:val="32"/>
          <w:szCs w:val="32"/>
        </w:rPr>
      </w:pPr>
    </w:p>
    <w:p>
      <w:pPr>
        <w:widowControl/>
        <w:spacing w:line="520" w:lineRule="exact"/>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填报注意事项：</w:t>
      </w:r>
    </w:p>
    <w:p>
      <w:pPr>
        <w:widowControl/>
        <w:spacing w:line="520" w:lineRule="exact"/>
        <w:ind w:firstLine="640" w:firstLineChars="200"/>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1.得分一档最高不能超过该指标分值上限。</w:t>
      </w:r>
    </w:p>
    <w:p>
      <w:pPr>
        <w:widowControl/>
        <w:spacing w:line="520" w:lineRule="exact"/>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 xml:space="preserve">    2.定量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p>
      <w:pPr>
        <w:spacing w:line="520" w:lineRule="exact"/>
        <w:ind w:firstLine="640" w:firstLineChars="200"/>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3.请在“偏差原因分析及改进措施”中说明偏离目标、不能完成目标的原因及拟采取的措施。</w:t>
      </w:r>
    </w:p>
    <w:p>
      <w:pPr>
        <w:spacing w:line="520" w:lineRule="exact"/>
        <w:ind w:firstLine="640" w:firstLineChars="200"/>
      </w:pPr>
      <w:r>
        <w:rPr>
          <w:rFonts w:hint="eastAsia" w:ascii="仿宋_GB2312" w:hAnsi="宋体" w:eastAsia="仿宋_GB2312" w:cs="宋体"/>
          <w:color w:val="000000"/>
          <w:kern w:val="0"/>
          <w:sz w:val="32"/>
          <w:szCs w:val="32"/>
        </w:rPr>
        <w:t>4.90（含）-100分为优、80（含）-90分为良、60（含）-80分为中、60分以下为差。</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DejaVu Sans">
    <w:altName w:val="Segoe Print"/>
    <w:panose1 w:val="020B0603030804020204"/>
    <w:charset w:val="00"/>
    <w:family w:val="auto"/>
    <w:pitch w:val="default"/>
    <w:sig w:usb0="00000000" w:usb1="00000000" w:usb2="0A246029" w:usb3="0400200C" w:csb0="600001FF" w:csb1="DFFF0000"/>
  </w:font>
  <w:font w:name="方正书宋_GBK">
    <w:altName w:val="微软雅黑"/>
    <w:panose1 w:val="02000000000000000000"/>
    <w:charset w:val="86"/>
    <w:family w:val="auto"/>
    <w:pitch w:val="default"/>
    <w:sig w:usb0="00000000" w:usb1="00000000" w:usb2="00000000" w:usb3="00000000" w:csb0="00040000" w:csb1="00000000"/>
  </w:font>
  <w:font w:name="方正仿宋_GBK">
    <w:altName w:val="微软雅黑"/>
    <w:panose1 w:val="02000000000000000000"/>
    <w:charset w:val="86"/>
    <w:family w:val="auto"/>
    <w:pitch w:val="default"/>
    <w:sig w:usb0="00000000" w:usb1="00000000" w:usb2="00000000" w:usb3="00000000" w:csb0="00040000" w:csb1="00000000"/>
  </w:font>
  <w:font w:name="方正小标宋简体">
    <w:altName w:val="微软雅黑"/>
    <w:panose1 w:val="02000000000000000000"/>
    <w:charset w:val="86"/>
    <w:family w:val="auto"/>
    <w:pitch w:val="default"/>
    <w:sig w:usb0="00000000" w:usb1="00000000" w:usb2="00000012" w:usb3="00000000" w:csb0="00040001" w:csb1="00000000"/>
  </w:font>
  <w:font w:name="方正黑体_GBK">
    <w:altName w:val="微软雅黑"/>
    <w:panose1 w:val="02000000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v:textbox>
            </v:shape>
          </w:pict>
        </mc:Fallback>
      </mc:AlternateContent>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77F09F4"/>
    <w:rsid w:val="08A72A06"/>
    <w:rsid w:val="0ECF9C51"/>
    <w:rsid w:val="1BBC65EB"/>
    <w:rsid w:val="1E986941"/>
    <w:rsid w:val="2AE43D54"/>
    <w:rsid w:val="37173543"/>
    <w:rsid w:val="3F1D62B2"/>
    <w:rsid w:val="3FF76880"/>
    <w:rsid w:val="41B82963"/>
    <w:rsid w:val="7AB7FF50"/>
    <w:rsid w:val="7BFEB0DB"/>
    <w:rsid w:val="7FFF3306"/>
    <w:rsid w:val="C36F37B1"/>
    <w:rsid w:val="CEFD3F3D"/>
    <w:rsid w:val="D3723D16"/>
    <w:rsid w:val="EA3F77F2"/>
    <w:rsid w:val="EEFE5989"/>
    <w:rsid w:val="EFCF3EAE"/>
    <w:rsid w:val="F5B764A2"/>
    <w:rsid w:val="F77F09F4"/>
    <w:rsid w:val="FFD7BF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5">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20"/>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page number"/>
    <w:basedOn w:val="5"/>
    <w:qFormat/>
    <w:uiPriority w:val="0"/>
  </w:style>
  <w:style w:type="paragraph" w:customStyle="1" w:styleId="8">
    <w:name w:val="列出段落1"/>
    <w:basedOn w:val="1"/>
    <w:qFormat/>
    <w:uiPriority w:val="34"/>
    <w:pPr>
      <w:ind w:firstLine="420" w:firstLineChars="200"/>
    </w:pPr>
    <w:rPr>
      <w:rFonts w:ascii="Calibri" w:hAnsi="Calibri" w:cs="黑体"/>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Office_10.8.0.6253_F1E327BC-269C-435d-A152-05C5408002CA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2022-03-11T11:16:00Z</dcterms:created>
  <dc:creator>user</dc:creator>
  <cp:lastModifiedBy>zhaoy</cp:lastModifiedBy>
  <dcterms:modified xsi:type="dcterms:W3CDTF">2023-04-20T02:33:24Z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2052-10.8.0.6253</vt:lpwstr>
  </property>
  <property fmtid="{D5CDD505-2E9C-101B-9397-08002B2CF9AE}" pid="3" name="ICV">
    <vt:lpwstr>35CE534FB8AB41718EA3A715B5581E84</vt:lpwstr>
  </property>
</Properties>
</file>