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ascii="仿宋_GB2312" w:hAnsi="宋体" w:eastAsia="仿宋_GB2312"/>
          <w:sz w:val="28"/>
          <w:szCs w:val="28"/>
        </w:rPr>
        <w:t xml:space="preserve"> </w:t>
      </w:r>
      <w:r>
        <w:rPr>
          <w:rFonts w:hint="eastAsia" w:ascii="仿宋_GB2312" w:hAnsi="宋体" w:eastAsia="仿宋_GB2312"/>
          <w:sz w:val="28"/>
          <w:szCs w:val="28"/>
        </w:rPr>
        <w:t xml:space="preserve"> 年度）</w:t>
      </w:r>
    </w:p>
    <w:p>
      <w:pPr>
        <w:spacing w:line="240" w:lineRule="exact"/>
        <w:rPr>
          <w:rFonts w:hint="eastAsia"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034"/>
        <w:gridCol w:w="93"/>
        <w:gridCol w:w="975"/>
        <w:gridCol w:w="1005"/>
        <w:gridCol w:w="105"/>
        <w:gridCol w:w="430"/>
        <w:gridCol w:w="490"/>
        <w:gridCol w:w="804"/>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北京市法人单位经营情况调查</w:t>
            </w:r>
          </w:p>
        </w:tc>
      </w:tr>
      <w:tr>
        <w:tblPrEx>
          <w:tblCellMar>
            <w:top w:w="0" w:type="dxa"/>
            <w:left w:w="108" w:type="dxa"/>
            <w:bottom w:w="0" w:type="dxa"/>
            <w:right w:w="108" w:type="dxa"/>
          </w:tblCellMar>
        </w:tblPrEx>
        <w:trPr>
          <w:trHeight w:val="61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393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北京市统计局 </w:t>
            </w: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434" w:type="dxa"/>
            <w:gridSpan w:val="4"/>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 w:val="21"/>
                <w:szCs w:val="21"/>
              </w:rPr>
            </w:pPr>
            <w:r>
              <w:rPr>
                <w:rFonts w:hint="eastAsia" w:ascii="仿宋_GB2312" w:hAnsi="宋体" w:eastAsia="仿宋_GB2312" w:cs="宋体"/>
                <w:color w:val="000000" w:themeColor="text1"/>
                <w:kern w:val="0"/>
                <w:szCs w:val="21"/>
                <w14:textFill>
                  <w14:solidFill>
                    <w14:schemeClr w14:val="tx1"/>
                  </w14:solidFill>
                </w14:textFill>
              </w:rPr>
              <w:t>北京市通州区经济社会调查队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393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eastAsia="zh-CN"/>
              </w:rPr>
              <w:t>耿士中</w:t>
            </w: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434"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81597221</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92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92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其中：当年财政</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92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上年结转资金</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2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 xml:space="preserve">  其他资金</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1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2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490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54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4909"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1、满足国家和北京市对基本单位名录库单位数量和基本信息的维护</w:t>
            </w:r>
          </w:p>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2、为规模（限额）单位及时纳入专业统计提供依据</w:t>
            </w:r>
          </w:p>
          <w:p>
            <w:pPr>
              <w:widowControl/>
              <w:spacing w:line="240" w:lineRule="exact"/>
              <w:jc w:val="center"/>
              <w:rPr>
                <w:rFonts w:hint="eastAsia" w:ascii="仿宋_GB2312" w:hAnsi="宋体" w:eastAsia="仿宋_GB2312" w:cs="宋体"/>
                <w:kern w:val="0"/>
                <w:sz w:val="21"/>
                <w:szCs w:val="21"/>
              </w:rPr>
            </w:pPr>
          </w:p>
        </w:tc>
        <w:tc>
          <w:tcPr>
            <w:tcW w:w="3544"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lang w:eastAsia="zh-CN"/>
              </w:rPr>
            </w:pPr>
            <w:r>
              <w:rPr>
                <w:rFonts w:hint="eastAsia" w:ascii="仿宋_GB2312" w:hAnsi="宋体" w:eastAsia="仿宋_GB2312" w:cs="宋体"/>
                <w:color w:val="000000"/>
                <w:kern w:val="0"/>
                <w:sz w:val="21"/>
                <w:szCs w:val="21"/>
                <w:lang w:eastAsia="zh-CN"/>
              </w:rPr>
              <w:t>1、达成国家和北京市对基本单位名录库单位数量和基本信息的维护</w:t>
            </w:r>
          </w:p>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color w:val="000000"/>
                <w:kern w:val="0"/>
                <w:sz w:val="21"/>
                <w:szCs w:val="21"/>
                <w:lang w:eastAsia="zh-CN"/>
              </w:rPr>
              <w:t>2、达成为规模（限额）单位及时纳入专业统计提供依据</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86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法人单位经营情况表</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2400家</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eastAsia="zh-CN"/>
              </w:rPr>
              <w:t>完成</w:t>
            </w:r>
            <w:r>
              <w:rPr>
                <w:rFonts w:hint="eastAsia" w:ascii="仿宋_GB2312" w:hAnsi="宋体" w:eastAsia="仿宋_GB2312" w:cs="宋体"/>
                <w:kern w:val="0"/>
                <w:sz w:val="21"/>
                <w:szCs w:val="21"/>
                <w:lang w:val="en-US" w:eastAsia="zh-CN"/>
              </w:rPr>
              <w:t>2495</w:t>
            </w:r>
            <w:bookmarkStart w:id="0" w:name="_GoBack"/>
            <w:bookmarkEnd w:id="0"/>
            <w:r>
              <w:rPr>
                <w:rFonts w:hint="eastAsia" w:ascii="仿宋_GB2312" w:hAnsi="宋体" w:eastAsia="仿宋_GB2312" w:cs="宋体"/>
                <w:kern w:val="0"/>
                <w:sz w:val="21"/>
                <w:szCs w:val="21"/>
                <w:lang w:val="en-US" w:eastAsia="zh-CN"/>
              </w:rPr>
              <w:t>家调查</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14</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15"/>
                <w:szCs w:val="15"/>
                <w:lang w:eastAsia="zh-CN"/>
              </w:rPr>
              <w:t>没有能够准确预测调查单位数量，实际调查单位数量</w:t>
            </w:r>
            <w:r>
              <w:rPr>
                <w:rFonts w:hint="eastAsia" w:ascii="仿宋_GB2312" w:hAnsi="宋体" w:eastAsia="仿宋_GB2312" w:cs="宋体"/>
                <w:kern w:val="0"/>
                <w:sz w:val="15"/>
                <w:szCs w:val="15"/>
                <w:lang w:val="en-US" w:eastAsia="zh-CN"/>
              </w:rPr>
              <w:t>2495</w:t>
            </w:r>
            <w:r>
              <w:rPr>
                <w:rFonts w:hint="eastAsia" w:ascii="仿宋_GB2312" w:hAnsi="宋体" w:eastAsia="仿宋_GB2312" w:cs="宋体"/>
                <w:kern w:val="0"/>
                <w:sz w:val="15"/>
                <w:szCs w:val="15"/>
                <w:lang w:eastAsia="zh-CN"/>
              </w:rPr>
              <w:t>超出了预测数</w:t>
            </w:r>
          </w:p>
        </w:tc>
      </w:tr>
      <w:tr>
        <w:tblPrEx>
          <w:tblCellMar>
            <w:top w:w="0" w:type="dxa"/>
            <w:left w:w="108" w:type="dxa"/>
            <w:bottom w:w="0" w:type="dxa"/>
            <w:right w:w="108" w:type="dxa"/>
          </w:tblCellMar>
        </w:tblPrEx>
        <w:trPr>
          <w:trHeight w:val="436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市区两级数据匹配,单位基本情况和相关数据准确，并与名录库数据一致</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调查表中营业收入,主营业务收入,资产总计,从业人员期末人数,建筑业资质等级5个指标数据填报与实际情况一致</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调查表中营业收入,主营业务收入,资产总计,从业人员期末人数,建筑业资质等级5个指标数据填报与实际情况一致</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77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调查完成时间</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11月底前</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lang w:val="en-US" w:eastAsia="zh-CN"/>
              </w:rPr>
              <w:t>11月底前</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24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调查成本</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每个调查单位</w:t>
            </w:r>
            <w:r>
              <w:rPr>
                <w:rFonts w:hint="eastAsia" w:ascii="仿宋_GB2312" w:hAnsi="宋体" w:eastAsia="仿宋_GB2312" w:cs="宋体"/>
                <w:color w:val="000000"/>
                <w:kern w:val="0"/>
                <w:szCs w:val="21"/>
              </w:rPr>
              <w:t>50元</w:t>
            </w:r>
            <w:r>
              <w:rPr>
                <w:rFonts w:hint="eastAsia" w:ascii="仿宋_GB2312" w:hAnsi="宋体" w:eastAsia="仿宋_GB2312" w:cs="宋体"/>
                <w:color w:val="000000"/>
                <w:kern w:val="0"/>
                <w:szCs w:val="21"/>
                <w:lang w:eastAsia="zh-CN"/>
              </w:rPr>
              <w:t>，劳务费总计</w:t>
            </w:r>
            <w:r>
              <w:rPr>
                <w:rFonts w:hint="eastAsia" w:ascii="仿宋_GB2312" w:hAnsi="宋体" w:eastAsia="仿宋_GB2312" w:cs="宋体"/>
                <w:color w:val="000000"/>
                <w:kern w:val="0"/>
                <w:szCs w:val="21"/>
                <w:lang w:val="en-US" w:eastAsia="zh-CN"/>
              </w:rPr>
              <w:t>12</w:t>
            </w:r>
            <w:r>
              <w:rPr>
                <w:rFonts w:hint="eastAsia" w:ascii="仿宋_GB2312" w:hAnsi="宋体" w:eastAsia="仿宋_GB2312" w:cs="宋体"/>
                <w:color w:val="000000"/>
                <w:kern w:val="0"/>
                <w:szCs w:val="21"/>
                <w:lang w:eastAsia="zh-CN"/>
              </w:rPr>
              <w:t>万元</w:t>
            </w:r>
          </w:p>
          <w:p>
            <w:pPr>
              <w:widowControl/>
              <w:spacing w:line="240" w:lineRule="exact"/>
              <w:jc w:val="center"/>
              <w:rPr>
                <w:rFonts w:hint="default" w:ascii="仿宋_GB2312" w:hAnsi="宋体" w:eastAsia="仿宋_GB2312" w:cs="宋体"/>
                <w:kern w:val="0"/>
                <w:sz w:val="21"/>
                <w:szCs w:val="21"/>
                <w:lang w:val="en-US" w:eastAsia="zh-CN"/>
              </w:rPr>
            </w:pP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每个调查单位</w:t>
            </w:r>
            <w:r>
              <w:rPr>
                <w:rFonts w:hint="eastAsia" w:ascii="仿宋_GB2312" w:hAnsi="宋体" w:eastAsia="仿宋_GB2312" w:cs="宋体"/>
                <w:color w:val="000000"/>
                <w:kern w:val="0"/>
                <w:szCs w:val="21"/>
              </w:rPr>
              <w:t>50元</w:t>
            </w:r>
            <w:r>
              <w:rPr>
                <w:rFonts w:hint="eastAsia" w:ascii="仿宋_GB2312" w:hAnsi="宋体" w:eastAsia="仿宋_GB2312" w:cs="宋体"/>
                <w:color w:val="000000"/>
                <w:kern w:val="0"/>
                <w:szCs w:val="21"/>
                <w:lang w:eastAsia="zh-CN"/>
              </w:rPr>
              <w:t>，劳务费总计</w:t>
            </w:r>
            <w:r>
              <w:rPr>
                <w:rFonts w:hint="eastAsia" w:ascii="仿宋_GB2312" w:hAnsi="宋体" w:eastAsia="仿宋_GB2312" w:cs="宋体"/>
                <w:color w:val="000000"/>
                <w:kern w:val="0"/>
                <w:szCs w:val="21"/>
                <w:lang w:val="en-US" w:eastAsia="zh-CN"/>
              </w:rPr>
              <w:t>12</w:t>
            </w:r>
            <w:r>
              <w:rPr>
                <w:rFonts w:hint="eastAsia" w:ascii="仿宋_GB2312" w:hAnsi="宋体" w:eastAsia="仿宋_GB2312" w:cs="宋体"/>
                <w:color w:val="000000"/>
                <w:kern w:val="0"/>
                <w:szCs w:val="21"/>
                <w:lang w:eastAsia="zh-CN"/>
              </w:rPr>
              <w:t>万元</w:t>
            </w:r>
          </w:p>
          <w:p>
            <w:pPr>
              <w:widowControl/>
              <w:spacing w:line="240" w:lineRule="exact"/>
              <w:jc w:val="center"/>
              <w:rPr>
                <w:rFonts w:hint="default" w:ascii="仿宋_GB2312" w:hAnsi="宋体" w:eastAsia="仿宋_GB2312" w:cs="宋体"/>
                <w:kern w:val="0"/>
                <w:sz w:val="21"/>
                <w:szCs w:val="21"/>
                <w:lang w:val="en-US" w:eastAsia="zh-CN"/>
              </w:rPr>
            </w:pP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11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满足国家局对北京市调查单位增减上报要求</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Cs w:val="21"/>
                <w:lang w:eastAsia="zh-CN"/>
              </w:rPr>
              <w:t>优良中差</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优</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13</w:t>
            </w:r>
          </w:p>
        </w:tc>
        <w:tc>
          <w:tcPr>
            <w:tcW w:w="151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outlineLvl w:val="9"/>
              <w:rPr>
                <w:rFonts w:hint="eastAsia" w:ascii="仿宋_GB2312" w:hAnsi="宋体" w:eastAsia="仿宋_GB2312" w:cs="宋体"/>
                <w:kern w:val="0"/>
                <w:sz w:val="15"/>
                <w:szCs w:val="15"/>
                <w:lang w:eastAsia="zh-CN"/>
              </w:rPr>
            </w:pPr>
            <w:r>
              <w:rPr>
                <w:rFonts w:hint="eastAsia" w:ascii="仿宋_GB2312" w:hAnsi="宋体" w:eastAsia="仿宋_GB2312" w:cs="宋体"/>
                <w:kern w:val="0"/>
                <w:sz w:val="15"/>
                <w:szCs w:val="15"/>
                <w:lang w:eastAsia="zh-CN"/>
              </w:rPr>
              <w:t>提交到系统中的资料依然存在不符合上报要求的情况，下一步将继续加强与专业科室的沟通</w:t>
            </w:r>
          </w:p>
        </w:tc>
      </w:tr>
      <w:tr>
        <w:tblPrEx>
          <w:tblCellMar>
            <w:top w:w="0" w:type="dxa"/>
            <w:left w:w="108" w:type="dxa"/>
            <w:bottom w:w="0" w:type="dxa"/>
            <w:right w:w="108" w:type="dxa"/>
          </w:tblCellMar>
        </w:tblPrEx>
        <w:trPr>
          <w:trHeight w:val="156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76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满足市统计局各专业年进度统计及各类统计调查项目的单位名录数据使用需求</w:t>
            </w:r>
          </w:p>
        </w:tc>
        <w:tc>
          <w:tcPr>
            <w:tcW w:w="1068"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 w:val="21"/>
                <w:szCs w:val="21"/>
                <w:lang w:eastAsia="zh-CN"/>
              </w:rPr>
            </w:pPr>
            <w:r>
              <w:rPr>
                <w:rFonts w:hint="eastAsia" w:ascii="仿宋_GB2312" w:hAnsi="宋体" w:eastAsia="仿宋_GB2312" w:cs="宋体"/>
                <w:kern w:val="0"/>
                <w:szCs w:val="21"/>
                <w:lang w:eastAsia="zh-CN"/>
              </w:rPr>
              <w:t>优良中差</w:t>
            </w:r>
          </w:p>
        </w:tc>
        <w:tc>
          <w:tcPr>
            <w:tcW w:w="10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lang w:eastAsia="zh-CN"/>
              </w:rPr>
              <w:t>优</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15</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 w:val="21"/>
                <w:szCs w:val="21"/>
                <w:lang w:val="en-US" w:eastAsia="zh-CN"/>
              </w:rPr>
            </w:pPr>
            <w:r>
              <w:rPr>
                <w:rFonts w:hint="eastAsia" w:ascii="仿宋_GB2312" w:hAnsi="宋体" w:eastAsia="仿宋_GB2312" w:cs="宋体"/>
                <w:kern w:val="0"/>
                <w:sz w:val="21"/>
                <w:szCs w:val="21"/>
                <w:lang w:val="en-US" w:eastAsia="zh-CN"/>
              </w:rPr>
              <w:t>12</w:t>
            </w:r>
          </w:p>
        </w:tc>
        <w:tc>
          <w:tcPr>
            <w:tcW w:w="151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outlineLvl w:val="9"/>
              <w:rPr>
                <w:rFonts w:hint="eastAsia" w:ascii="仿宋_GB2312" w:hAnsi="宋体" w:eastAsia="仿宋_GB2312" w:cs="宋体"/>
                <w:kern w:val="0"/>
                <w:sz w:val="15"/>
                <w:szCs w:val="15"/>
                <w:lang w:eastAsia="zh-CN"/>
              </w:rPr>
            </w:pPr>
            <w:r>
              <w:rPr>
                <w:rFonts w:hint="eastAsia" w:ascii="仿宋_GB2312" w:hAnsi="宋体" w:eastAsia="仿宋_GB2312" w:cs="宋体"/>
                <w:kern w:val="0"/>
                <w:sz w:val="15"/>
                <w:szCs w:val="15"/>
                <w:lang w:eastAsia="zh-CN"/>
              </w:rPr>
              <w:t>对于准规模纳统工作，由于全市审核整体安排工作周期性问题，除建筑、投资、房地产仍不能达到每月及时纳统，后续将继续协调改进</w:t>
            </w: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总分</w:t>
            </w:r>
          </w:p>
        </w:tc>
        <w:tc>
          <w:tcPr>
            <w:tcW w:w="53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100</w:t>
            </w:r>
          </w:p>
        </w:tc>
        <w:tc>
          <w:tcPr>
            <w:tcW w:w="49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eastAsia="仿宋_GB2312" w:cs="宋体"/>
                <w:color w:val="000000"/>
                <w:kern w:val="0"/>
                <w:sz w:val="21"/>
                <w:szCs w:val="21"/>
                <w:lang w:val="en-US" w:eastAsia="zh-CN"/>
              </w:rPr>
              <w:t>94</w:t>
            </w:r>
          </w:p>
        </w:tc>
        <w:tc>
          <w:tcPr>
            <w:tcW w:w="15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DE54B4"/>
    <w:rsid w:val="03895D47"/>
    <w:rsid w:val="048B02A9"/>
    <w:rsid w:val="0ECF9C51"/>
    <w:rsid w:val="1D226668"/>
    <w:rsid w:val="1F4815C1"/>
    <w:rsid w:val="274C62ED"/>
    <w:rsid w:val="2AE43D54"/>
    <w:rsid w:val="37173543"/>
    <w:rsid w:val="3FF76880"/>
    <w:rsid w:val="466D43DC"/>
    <w:rsid w:val="669E5AA0"/>
    <w:rsid w:val="74BD3646"/>
    <w:rsid w:val="7728276E"/>
    <w:rsid w:val="77542E0C"/>
    <w:rsid w:val="7AB7FF50"/>
    <w:rsid w:val="7BFEB0DB"/>
    <w:rsid w:val="7FFF3306"/>
    <w:rsid w:val="9BD7B1D9"/>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2022-03-11T11:16:00Z</dcterms:created>
  <dc:creator>user</dc:creator>
  <cp:lastModifiedBy>Administrator</cp:lastModifiedBy>
  <dcterms:modified xsi:type="dcterms:W3CDTF">2023-04-21T03:00:02Z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35CE534FB8AB41718EA3A715B5581E84</vt:lpwstr>
  </property>
</Properties>
</file>