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tbl>
      <w:tblPr>
        <w:tblStyle w:val="7"/>
        <w:tblpPr w:leftFromText="180" w:rightFromText="180" w:vertAnchor="text" w:horzAnchor="page" w:tblpX="1522" w:tblpY="53"/>
        <w:tblOverlap w:val="never"/>
        <w:tblW w:w="950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01"/>
        <w:gridCol w:w="931"/>
        <w:gridCol w:w="974"/>
        <w:gridCol w:w="153"/>
        <w:gridCol w:w="396"/>
        <w:gridCol w:w="308"/>
        <w:gridCol w:w="232"/>
        <w:gridCol w:w="614"/>
        <w:gridCol w:w="117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945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北京市季度人口抽样调查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北京市统计局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7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北京市大兴区经济社会调查队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李凯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7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81295474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  <w:t>12.00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  <w:t>4.00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  <w:t>4.00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  <w:t>100%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  <w:t>12.00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  <w:t>4.00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  <w:t>4.00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  <w:t>100%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exact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85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2" w:hRule="exact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</w:rPr>
              <w:t>目标1：数据口径统一；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</w:rPr>
              <w:t xml:space="preserve">目标2：严格执行季度调查制度，保证市、区两级调查相对误差控制在允许范围内；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</w:rPr>
              <w:t>目标3：实事求是，加强数据质量全过程管理，保证调查数据真实准确；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</w:rPr>
              <w:t xml:space="preserve">目标4：上报专报，满足市政府及时掌握人口变动情况，为政府决策提供依据；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</w:rPr>
              <w:t>目标5：严格执行财务管理制度，规范使用调查经费，做到有据可依。</w:t>
            </w:r>
          </w:p>
        </w:tc>
        <w:tc>
          <w:tcPr>
            <w:tcW w:w="385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  <w:t>按照市统计局统一要求，2022年1季度开展季度人口抽样调查，各环节严格按照目标要求执行，并根据调查数据结合多种方式按时按质提交常住人口评估推算报告，为市统计局统筹反馈数据提供重要参考。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0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9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9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7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1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</w:rPr>
              <w:t>调查覆盖面</w:t>
            </w:r>
          </w:p>
        </w:tc>
        <w:tc>
          <w:tcPr>
            <w:tcW w:w="9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</w:rPr>
              <w:t>全区人口3‰</w:t>
            </w:r>
          </w:p>
        </w:tc>
        <w:tc>
          <w:tcPr>
            <w:tcW w:w="9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  <w:t>2022年1季度登记人数3343人，以2021年末常住人口数测算占比约1.8‰。</w:t>
            </w:r>
          </w:p>
        </w:tc>
        <w:tc>
          <w:tcPr>
            <w:tcW w:w="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17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  <w:t>市统计局按照每个调查小区100户进行测算抽取。调查登记过程中每个调查小区登记户数实际平均89户。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原因人口普查时按照80户、250人划分普查小区，季度人口抽样调查按照人口普查区域划分要求抽取小区。在调查登记过程中，区、镇两级机构及时督导，确保登记数据真实、准确。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</w:rPr>
              <w:t>调查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eastAsia="zh-CN"/>
              </w:rPr>
              <w:t>小区数</w:t>
            </w:r>
          </w:p>
        </w:tc>
        <w:tc>
          <w:tcPr>
            <w:tcW w:w="9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  <w:t>16个</w:t>
            </w:r>
          </w:p>
        </w:tc>
        <w:tc>
          <w:tcPr>
            <w:tcW w:w="9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  <w:t>16个</w:t>
            </w:r>
          </w:p>
        </w:tc>
        <w:tc>
          <w:tcPr>
            <w:tcW w:w="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7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</w:rPr>
              <w:t>调查表指标</w:t>
            </w:r>
          </w:p>
        </w:tc>
        <w:tc>
          <w:tcPr>
            <w:tcW w:w="9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24个</w:t>
            </w:r>
          </w:p>
        </w:tc>
        <w:tc>
          <w:tcPr>
            <w:tcW w:w="9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24个</w:t>
            </w:r>
          </w:p>
        </w:tc>
        <w:tc>
          <w:tcPr>
            <w:tcW w:w="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7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eastAsia="zh-CN"/>
              </w:rPr>
              <w:t>小区图</w:t>
            </w:r>
          </w:p>
        </w:tc>
        <w:tc>
          <w:tcPr>
            <w:tcW w:w="9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  <w:t>16张</w:t>
            </w:r>
          </w:p>
        </w:tc>
        <w:tc>
          <w:tcPr>
            <w:tcW w:w="9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  <w:t>16张</w:t>
            </w:r>
          </w:p>
        </w:tc>
        <w:tc>
          <w:tcPr>
            <w:tcW w:w="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7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</w:rPr>
              <w:t>北京市统计局对区级季度人口数据推算需求</w:t>
            </w:r>
          </w:p>
        </w:tc>
        <w:tc>
          <w:tcPr>
            <w:tcW w:w="9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优良中低差</w:t>
            </w:r>
          </w:p>
        </w:tc>
        <w:tc>
          <w:tcPr>
            <w:tcW w:w="9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7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</w:rPr>
              <w:t>样本确定</w:t>
            </w:r>
          </w:p>
        </w:tc>
        <w:tc>
          <w:tcPr>
            <w:tcW w:w="9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  <w:t>入户前</w:t>
            </w:r>
          </w:p>
        </w:tc>
        <w:tc>
          <w:tcPr>
            <w:tcW w:w="9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  <w:t>入户前完成确定</w:t>
            </w:r>
          </w:p>
        </w:tc>
        <w:tc>
          <w:tcPr>
            <w:tcW w:w="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7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</w:rPr>
              <w:t>入户登记</w:t>
            </w:r>
          </w:p>
        </w:tc>
        <w:tc>
          <w:tcPr>
            <w:tcW w:w="9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  <w:t>3月底前</w:t>
            </w:r>
          </w:p>
        </w:tc>
        <w:tc>
          <w:tcPr>
            <w:tcW w:w="9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  <w:t>3月15日至3月24日</w:t>
            </w:r>
          </w:p>
        </w:tc>
        <w:tc>
          <w:tcPr>
            <w:tcW w:w="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7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eastAsia="zh-CN"/>
              </w:rPr>
              <w:t>数据评估、分析</w:t>
            </w:r>
          </w:p>
        </w:tc>
        <w:tc>
          <w:tcPr>
            <w:tcW w:w="9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  <w:t>4月底前</w:t>
            </w:r>
          </w:p>
        </w:tc>
        <w:tc>
          <w:tcPr>
            <w:tcW w:w="9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  <w:t>4月1日报送</w:t>
            </w:r>
          </w:p>
        </w:tc>
        <w:tc>
          <w:tcPr>
            <w:tcW w:w="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7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eastAsia="zh-CN"/>
              </w:rPr>
              <w:t>项目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</w:rPr>
              <w:t>预算控制数</w:t>
            </w:r>
          </w:p>
        </w:tc>
        <w:tc>
          <w:tcPr>
            <w:tcW w:w="9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控制4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万元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以内</w:t>
            </w:r>
          </w:p>
        </w:tc>
        <w:tc>
          <w:tcPr>
            <w:tcW w:w="9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4.00万元</w:t>
            </w:r>
          </w:p>
        </w:tc>
        <w:tc>
          <w:tcPr>
            <w:tcW w:w="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7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经济效益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  <w:tc>
          <w:tcPr>
            <w:tcW w:w="9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7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6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0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</w:rPr>
              <w:t>人员培训</w:t>
            </w:r>
          </w:p>
        </w:tc>
        <w:tc>
          <w:tcPr>
            <w:tcW w:w="9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优良中低差</w:t>
            </w:r>
          </w:p>
        </w:tc>
        <w:tc>
          <w:tcPr>
            <w:tcW w:w="9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17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培训后安排人员考试练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习，从判卷情况看存在10%左右的差错率。为提升业务水平，及时将判卷结果反馈，在登记阶段通过电话、实地督导方式进一步强化人员的业务水平。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0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  <w:tc>
          <w:tcPr>
            <w:tcW w:w="9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7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可持续影响指标</w:t>
            </w:r>
          </w:p>
        </w:tc>
        <w:tc>
          <w:tcPr>
            <w:tcW w:w="20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  <w:tc>
          <w:tcPr>
            <w:tcW w:w="9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7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指标</w:t>
            </w:r>
          </w:p>
        </w:tc>
        <w:tc>
          <w:tcPr>
            <w:tcW w:w="20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  <w:tc>
          <w:tcPr>
            <w:tcW w:w="9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7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</w:trPr>
        <w:tc>
          <w:tcPr>
            <w:tcW w:w="662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95</w:t>
            </w:r>
          </w:p>
        </w:tc>
        <w:tc>
          <w:tcPr>
            <w:tcW w:w="17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spacing w:line="520" w:lineRule="exact"/>
        <w:ind w:firstLine="420" w:firstLineChars="200"/>
      </w:pPr>
    </w:p>
    <w:sectPr>
      <w:footerReference r:id="rId3" w:type="default"/>
      <w:pgSz w:w="11906" w:h="16838"/>
      <w:pgMar w:top="737" w:right="1417" w:bottom="73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08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40502020204"/>
    <w:charset w:val="00"/>
    <w:family w:val="auto"/>
    <w:pitch w:val="default"/>
    <w:sig w:usb0="00000000" w:usb1="00000000" w:usb2="00000000" w:usb3="00000000" w:csb0="0000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方正粗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SSJ-PK74820000150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等线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61F5001"/>
    <w:rsid w:val="0ECF9C51"/>
    <w:rsid w:val="110240D3"/>
    <w:rsid w:val="20AE1429"/>
    <w:rsid w:val="279E6636"/>
    <w:rsid w:val="2AE43D54"/>
    <w:rsid w:val="2E1657AA"/>
    <w:rsid w:val="36C91C5E"/>
    <w:rsid w:val="37173543"/>
    <w:rsid w:val="3F5456F8"/>
    <w:rsid w:val="3F6D7CCF"/>
    <w:rsid w:val="3FF76880"/>
    <w:rsid w:val="472B2D55"/>
    <w:rsid w:val="58551C14"/>
    <w:rsid w:val="5E8A6A0E"/>
    <w:rsid w:val="634E7477"/>
    <w:rsid w:val="66B25CF8"/>
    <w:rsid w:val="7AB7FF50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Administrator</cp:lastModifiedBy>
  <cp:lastPrinted>2023-04-20T06:39:57Z</cp:lastPrinted>
  <dcterms:modified xsi:type="dcterms:W3CDTF">2023-04-20T06:40:05Z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  <property fmtid="{D5CDD505-2E9C-101B-9397-08002B2CF9AE}" pid="3" name="ICV">
    <vt:lpwstr>35CE534FB8AB41718EA3A715B5581E84</vt:lpwstr>
  </property>
</Properties>
</file>