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  <w:t>202</w:t>
      </w:r>
      <w:bookmarkStart w:id="0" w:name="_GoBack"/>
      <w:r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  <w:t>2</w:t>
      </w:r>
      <w:bookmarkEnd w:id="0"/>
      <w:r>
        <w:rPr>
          <w:rFonts w:hint="eastAsia" w:ascii="仿宋_GB2312" w:hAnsi="宋体" w:eastAsia="仿宋_GB2312"/>
          <w:sz w:val="28"/>
          <w:szCs w:val="28"/>
          <w:highlight w:val="none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112"/>
        <w:gridCol w:w="1038"/>
        <w:gridCol w:w="950"/>
        <w:gridCol w:w="159"/>
        <w:gridCol w:w="528"/>
        <w:gridCol w:w="176"/>
        <w:gridCol w:w="349"/>
        <w:gridCol w:w="497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年年报及202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年季报非一套表劳动工资抽样调查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1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北京市经济调查总队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怀柔区经济社会调查队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1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李志军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69641695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1.532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1.532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1.532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1.532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1.532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1.532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目标1：数据口径统一；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目标2：严格执行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年度、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季度调查制度，保证市、区两级调查相对误差控制在允许范围内；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目标3：实事求是，加强数据质量全过程管理，保证调查数据真实准确；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目标4：为国民经济核算下算一级提供依据；      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目标5：严格执行财务管理制度，规范使用调查经费，做到有据可依。</w:t>
            </w:r>
          </w:p>
        </w:tc>
        <w:tc>
          <w:tcPr>
            <w:tcW w:w="33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已按以下目标完成任务：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目标1：数据口径统一；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目标2：严格执行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年度、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季度调查制度，保证市、区两级调查相对误差控制在允许范围内；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目标3：实事求是，加强数据质量全过程管理，保证调查数据真实准确；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目标4：为国民经济核算下算一级提供依据；      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目标5：严格执行财务管理制度，规范使用调查经费，做到有据可依。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9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数量指标</w:t>
            </w:r>
          </w:p>
        </w:tc>
        <w:tc>
          <w:tcPr>
            <w:tcW w:w="19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调查覆盖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乡镇数量</w:t>
            </w: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17个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17个</w:t>
            </w:r>
          </w:p>
        </w:tc>
        <w:tc>
          <w:tcPr>
            <w:tcW w:w="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9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年度调查单位数</w:t>
            </w: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541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541</w:t>
            </w:r>
          </w:p>
        </w:tc>
        <w:tc>
          <w:tcPr>
            <w:tcW w:w="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9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每季度调查单位数</w:t>
            </w: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225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225</w:t>
            </w:r>
          </w:p>
        </w:tc>
        <w:tc>
          <w:tcPr>
            <w:tcW w:w="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9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调查表指标</w:t>
            </w: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26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26</w:t>
            </w:r>
          </w:p>
        </w:tc>
        <w:tc>
          <w:tcPr>
            <w:tcW w:w="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时效指标</w:t>
            </w:r>
          </w:p>
        </w:tc>
        <w:tc>
          <w:tcPr>
            <w:tcW w:w="19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制度制定、样本确定</w:t>
            </w: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年度调查开始前一个月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按规定准时开展</w:t>
            </w:r>
          </w:p>
        </w:tc>
        <w:tc>
          <w:tcPr>
            <w:tcW w:w="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1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  <w:tc>
          <w:tcPr>
            <w:tcW w:w="19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数据汇总</w:t>
            </w: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年度季度上报市局后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年度季度上报市局后</w:t>
            </w:r>
          </w:p>
        </w:tc>
        <w:tc>
          <w:tcPr>
            <w:tcW w:w="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1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对市局要求理解不到位，今后加强沟通。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成本指标</w:t>
            </w:r>
          </w:p>
        </w:tc>
        <w:tc>
          <w:tcPr>
            <w:tcW w:w="19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调查单位每户20元</w:t>
            </w: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3" w:hRule="exac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社会效益</w:t>
            </w:r>
          </w:p>
        </w:tc>
        <w:tc>
          <w:tcPr>
            <w:tcW w:w="19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用于全市统一测算GDP及从业人员平均工资。推算本区GDP，为宏观调控提供参考。</w:t>
            </w: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优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优</w:t>
            </w:r>
          </w:p>
        </w:tc>
        <w:tc>
          <w:tcPr>
            <w:tcW w:w="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1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对影响人员及工资变化的因素掌握的不够及时、全面。加强对业务学习，及时与区内影响大的单位联系。学习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GDP推算方法，了解本区经济动向。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总分</w:t>
            </w:r>
          </w:p>
        </w:tc>
        <w:tc>
          <w:tcPr>
            <w:tcW w:w="6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100</w:t>
            </w:r>
          </w:p>
        </w:tc>
        <w:tc>
          <w:tcPr>
            <w:tcW w:w="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val="en-US" w:eastAsia="zh-CN"/>
              </w:rPr>
              <w:t>94</w:t>
            </w:r>
          </w:p>
        </w:tc>
        <w:tc>
          <w:tcPr>
            <w:tcW w:w="12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  <w:highlight w:val="none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C7C"/>
    <w:rsid w:val="00CB0C7C"/>
    <w:rsid w:val="00ED4E2E"/>
    <w:rsid w:val="010D5711"/>
    <w:rsid w:val="07E63670"/>
    <w:rsid w:val="08234772"/>
    <w:rsid w:val="0E371FC1"/>
    <w:rsid w:val="0F3E0658"/>
    <w:rsid w:val="104C07E8"/>
    <w:rsid w:val="107F17BC"/>
    <w:rsid w:val="11056023"/>
    <w:rsid w:val="137228F6"/>
    <w:rsid w:val="15AD174C"/>
    <w:rsid w:val="17724AF1"/>
    <w:rsid w:val="179F401C"/>
    <w:rsid w:val="19184FA7"/>
    <w:rsid w:val="1B466250"/>
    <w:rsid w:val="1B8A64F4"/>
    <w:rsid w:val="1C930E06"/>
    <w:rsid w:val="1E4155DD"/>
    <w:rsid w:val="20F56FE4"/>
    <w:rsid w:val="23784C1B"/>
    <w:rsid w:val="237A5AB6"/>
    <w:rsid w:val="24C57F76"/>
    <w:rsid w:val="2D077419"/>
    <w:rsid w:val="2F4C2D2D"/>
    <w:rsid w:val="340E4A07"/>
    <w:rsid w:val="34200801"/>
    <w:rsid w:val="38E551F4"/>
    <w:rsid w:val="3AA07028"/>
    <w:rsid w:val="3BBF13F2"/>
    <w:rsid w:val="40CA2E77"/>
    <w:rsid w:val="429E6F1A"/>
    <w:rsid w:val="43A26CCB"/>
    <w:rsid w:val="4494681A"/>
    <w:rsid w:val="46071CFA"/>
    <w:rsid w:val="46242515"/>
    <w:rsid w:val="477A0787"/>
    <w:rsid w:val="4ABE0BBA"/>
    <w:rsid w:val="4AD0617F"/>
    <w:rsid w:val="4B800ACB"/>
    <w:rsid w:val="4CDA17AF"/>
    <w:rsid w:val="4DCE49DF"/>
    <w:rsid w:val="4EF163E5"/>
    <w:rsid w:val="507903A8"/>
    <w:rsid w:val="5374355E"/>
    <w:rsid w:val="53DD6305"/>
    <w:rsid w:val="54F74263"/>
    <w:rsid w:val="556634EB"/>
    <w:rsid w:val="590E5CCF"/>
    <w:rsid w:val="5A492F0B"/>
    <w:rsid w:val="5D0D5639"/>
    <w:rsid w:val="5F4C1630"/>
    <w:rsid w:val="5F883D42"/>
    <w:rsid w:val="6106397B"/>
    <w:rsid w:val="62B369C7"/>
    <w:rsid w:val="65391A8B"/>
    <w:rsid w:val="69422291"/>
    <w:rsid w:val="6E7B1E91"/>
    <w:rsid w:val="74BC27A8"/>
    <w:rsid w:val="7DB308BB"/>
    <w:rsid w:val="7ECC501E"/>
    <w:rsid w:val="7F210A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l-btn-text"/>
    <w:basedOn w:val="3"/>
    <w:qFormat/>
    <w:uiPriority w:val="0"/>
    <w:rPr>
      <w:rFonts w:ascii="微软雅黑" w:hAnsi="微软雅黑" w:eastAsia="微软雅黑" w:cs="微软雅黑"/>
      <w:color w:val="444444"/>
      <w:sz w:val="16"/>
      <w:szCs w:val="16"/>
      <w:vertAlign w:val="baseline"/>
    </w:rPr>
  </w:style>
  <w:style w:type="character" w:customStyle="1" w:styleId="6">
    <w:name w:val="l-btn-left"/>
    <w:basedOn w:val="3"/>
    <w:qFormat/>
    <w:uiPriority w:val="0"/>
    <w:rPr>
      <w:color w:val="333333"/>
    </w:rPr>
  </w:style>
  <w:style w:type="character" w:customStyle="1" w:styleId="7">
    <w:name w:val="l-btn-left1"/>
    <w:basedOn w:val="3"/>
    <w:qFormat/>
    <w:uiPriority w:val="0"/>
  </w:style>
  <w:style w:type="character" w:customStyle="1" w:styleId="8">
    <w:name w:val="l-btn-left2"/>
    <w:basedOn w:val="3"/>
    <w:qFormat/>
    <w:uiPriority w:val="0"/>
  </w:style>
  <w:style w:type="character" w:customStyle="1" w:styleId="9">
    <w:name w:val="l-btn-left3"/>
    <w:basedOn w:val="3"/>
    <w:qFormat/>
    <w:uiPriority w:val="0"/>
  </w:style>
  <w:style w:type="character" w:customStyle="1" w:styleId="10">
    <w:name w:val="l-btn-icon-left"/>
    <w:basedOn w:val="3"/>
    <w:qFormat/>
    <w:uiPriority w:val="0"/>
  </w:style>
  <w:style w:type="character" w:customStyle="1" w:styleId="11">
    <w:name w:val="l-btn-icon-right"/>
    <w:basedOn w:val="3"/>
    <w:qFormat/>
    <w:uiPriority w:val="0"/>
  </w:style>
  <w:style w:type="character" w:customStyle="1" w:styleId="12">
    <w:name w:val="l-btn-empty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165</Words>
  <Characters>943</Characters>
  <Lines>7</Lines>
  <Paragraphs>2</Paragraphs>
  <TotalTime>8</TotalTime>
  <ScaleCrop>false</ScaleCrop>
  <LinksUpToDate>false</LinksUpToDate>
  <CharactersWithSpaces>1106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2022-04-06T07:01:00Z</dcterms:created>
  <dc:creator>周鑫(拟稿)</dc:creator>
  <cp:lastModifiedBy>cws</cp:lastModifiedBy>
  <cp:lastPrinted>2022-04-22T01:41:00Z</cp:lastPrinted>
  <dcterms:modified xsi:type="dcterms:W3CDTF">2023-04-17T02:24:05Z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