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870" w:rsidRDefault="00051B2B" w:rsidP="00051B2B">
      <w:pPr>
        <w:spacing w:line="560" w:lineRule="exact"/>
        <w:jc w:val="center"/>
        <w:rPr>
          <w:rFonts w:ascii="方正小标宋简体" w:eastAsia="方正小标宋简体"/>
          <w:color w:val="000000"/>
          <w:sz w:val="44"/>
          <w:szCs w:val="44"/>
        </w:rPr>
      </w:pPr>
      <w:r w:rsidRPr="00051B2B">
        <w:rPr>
          <w:rFonts w:ascii="方正小标宋简体" w:eastAsia="方正小标宋简体" w:hint="eastAsia"/>
          <w:color w:val="000000"/>
          <w:sz w:val="44"/>
          <w:szCs w:val="44"/>
        </w:rPr>
        <w:t>北京市统计监测评价中心</w:t>
      </w:r>
      <w:r w:rsidR="000D236F">
        <w:rPr>
          <w:rFonts w:ascii="方正小标宋简体" w:eastAsia="方正小标宋简体" w:hint="eastAsia"/>
          <w:color w:val="000000"/>
          <w:sz w:val="44"/>
          <w:szCs w:val="44"/>
        </w:rPr>
        <w:t>2024年度单位</w:t>
      </w:r>
    </w:p>
    <w:p w:rsidR="000D236F" w:rsidRDefault="000D236F" w:rsidP="00051B2B">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预算信息公开</w:t>
      </w:r>
    </w:p>
    <w:p w:rsidR="000D236F" w:rsidRDefault="000D236F">
      <w:pPr>
        <w:spacing w:line="240" w:lineRule="exact"/>
        <w:jc w:val="center"/>
        <w:rPr>
          <w:rFonts w:ascii="方正小标宋简体" w:eastAsia="方正小标宋简体"/>
          <w:color w:val="000000"/>
          <w:sz w:val="32"/>
          <w:szCs w:val="32"/>
        </w:rPr>
      </w:pPr>
    </w:p>
    <w:p w:rsidR="000D236F" w:rsidRDefault="000D236F" w:rsidP="003B7EBF">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0D236F" w:rsidRDefault="000D236F">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2024年度单位预算情况说明</w:t>
      </w:r>
    </w:p>
    <w:p w:rsidR="000D236F" w:rsidRDefault="000D236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0D236F" w:rsidRDefault="000D236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0D236F" w:rsidRDefault="000D236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0D236F" w:rsidRDefault="000D236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0D236F" w:rsidRDefault="000D236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0D236F" w:rsidRDefault="000D236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0D236F" w:rsidRDefault="000D236F">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2024年度单位预算报表</w:t>
      </w:r>
    </w:p>
    <w:p w:rsidR="000D236F" w:rsidRDefault="000D236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0D236F" w:rsidRDefault="000D236F">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0D236F" w:rsidRDefault="000D236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0D236F" w:rsidRDefault="000D236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0D236F" w:rsidRDefault="000D236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0D236F" w:rsidRDefault="000D236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0D236F" w:rsidRDefault="000D236F">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0D236F" w:rsidRDefault="000D236F">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0D236F" w:rsidRDefault="000D236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0D236F" w:rsidRDefault="000D236F">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0D236F" w:rsidRDefault="000D236F">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0D236F" w:rsidRDefault="000D236F" w:rsidP="00496C03">
      <w:pPr>
        <w:autoSpaceDE w:val="0"/>
        <w:autoSpaceDN w:val="0"/>
        <w:adjustRightInd w:val="0"/>
        <w:spacing w:line="560" w:lineRule="exact"/>
        <w:ind w:firstLineChars="200" w:firstLine="568"/>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8"/>
          <w:kern w:val="0"/>
          <w:sz w:val="32"/>
          <w:szCs w:val="32"/>
          <w:lang w:val="zh-CN"/>
        </w:rPr>
        <w:t>十</w:t>
      </w:r>
      <w:r>
        <w:rPr>
          <w:rFonts w:ascii="仿宋_GB2312" w:eastAsia="仿宋_GB2312" w:hAnsi="仿宋_GB2312" w:cs="仿宋_GB2312" w:hint="eastAsia"/>
          <w:color w:val="000000"/>
          <w:kern w:val="0"/>
          <w:sz w:val="32"/>
          <w:szCs w:val="32"/>
          <w:lang w:val="zh-CN"/>
        </w:rPr>
        <w:t>二、政府购买服务预算财政拨款明细表</w:t>
      </w:r>
    </w:p>
    <w:p w:rsidR="000D236F" w:rsidRDefault="000D236F" w:rsidP="009259CC">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lang w:val="zh-CN"/>
        </w:rPr>
        <w:t>十三、项目支出绩效目标表</w:t>
      </w:r>
    </w:p>
    <w:p w:rsidR="00051B2B" w:rsidRPr="00051B2B" w:rsidRDefault="000D236F" w:rsidP="00051B2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2024年度单位预算情况说明</w:t>
      </w:r>
    </w:p>
    <w:p w:rsidR="000D236F" w:rsidRDefault="000D236F">
      <w:pPr>
        <w:spacing w:line="360" w:lineRule="auto"/>
        <w:rPr>
          <w:rFonts w:ascii="仿宋_GB2312" w:eastAsia="仿宋_GB2312"/>
          <w:color w:val="000000"/>
          <w:sz w:val="32"/>
          <w:szCs w:val="32"/>
        </w:rPr>
      </w:pPr>
    </w:p>
    <w:p w:rsidR="000D236F" w:rsidRDefault="000D236F" w:rsidP="003D2D1B">
      <w:pPr>
        <w:spacing w:line="54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051B2B" w:rsidRPr="00051B2B" w:rsidRDefault="000D236F" w:rsidP="003D2D1B">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051B2B" w:rsidRPr="00051B2B" w:rsidRDefault="0047053D" w:rsidP="003D2D1B">
      <w:pPr>
        <w:spacing w:line="540" w:lineRule="exact"/>
        <w:ind w:firstLineChars="200" w:firstLine="640"/>
      </w:pPr>
      <w:r>
        <w:rPr>
          <w:rFonts w:ascii="仿宋_GB2312" w:eastAsia="仿宋_GB2312" w:hint="eastAsia"/>
          <w:sz w:val="32"/>
          <w:szCs w:val="32"/>
        </w:rPr>
        <w:t>根据</w:t>
      </w:r>
      <w:r>
        <w:rPr>
          <w:rFonts w:ascii="仿宋_GB2312" w:eastAsia="仿宋_GB2312" w:hAnsi="楷体" w:hint="eastAsia"/>
          <w:sz w:val="32"/>
          <w:szCs w:val="32"/>
        </w:rPr>
        <w:t>北京市机构编制委员会相关文件</w:t>
      </w:r>
      <w:r>
        <w:rPr>
          <w:rFonts w:ascii="仿宋_GB2312" w:eastAsia="仿宋_GB2312" w:hint="eastAsia"/>
          <w:sz w:val="32"/>
          <w:szCs w:val="32"/>
        </w:rPr>
        <w:t>，北京市统计监测评价中心是</w:t>
      </w:r>
      <w:r>
        <w:rPr>
          <w:rFonts w:ascii="仿宋_GB2312" w:eastAsia="仿宋_GB2312" w:hint="eastAsia"/>
          <w:color w:val="000000"/>
          <w:sz w:val="32"/>
          <w:szCs w:val="32"/>
        </w:rPr>
        <w:t>北京市统计局下属二级单位</w:t>
      </w:r>
      <w:r>
        <w:rPr>
          <w:rFonts w:ascii="仿宋_GB2312" w:eastAsia="仿宋_GB2312" w:hint="eastAsia"/>
          <w:sz w:val="32"/>
          <w:szCs w:val="32"/>
        </w:rPr>
        <w:t>，为正处级公益一类事业单位。主要职责为：承担本市经济社会运行状况及特定领域的监测评价分析、统计资料开发应用等事务性工作。</w:t>
      </w:r>
    </w:p>
    <w:p w:rsidR="00743296" w:rsidRDefault="000D236F" w:rsidP="003D2D1B">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47053D" w:rsidRDefault="0047053D"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北京市统计监测评价中心内设机构3个，分别为：办公室、监测评价一科、监测评价二科。无下属单位。</w:t>
      </w:r>
    </w:p>
    <w:p w:rsidR="000D236F" w:rsidRDefault="000D236F" w:rsidP="003D2D1B">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47053D" w:rsidRPr="0047053D" w:rsidRDefault="0047053D" w:rsidP="003D2D1B">
      <w:pPr>
        <w:spacing w:line="540" w:lineRule="exact"/>
        <w:ind w:firstLineChars="200" w:firstLine="640"/>
        <w:rPr>
          <w:rFonts w:ascii="仿宋_GB2312" w:eastAsia="仿宋_GB2312"/>
          <w:color w:val="000000"/>
          <w:sz w:val="32"/>
          <w:szCs w:val="32"/>
        </w:rPr>
      </w:pPr>
      <w:r w:rsidRPr="0047053D">
        <w:rPr>
          <w:rFonts w:ascii="仿宋_GB2312" w:eastAsia="仿宋_GB2312" w:hint="eastAsia"/>
          <w:color w:val="000000"/>
          <w:sz w:val="32"/>
          <w:szCs w:val="32"/>
        </w:rPr>
        <w:t>北京市统计监测评价中心行政编制0人，实际0人；事业编制20人，实际11人。</w:t>
      </w:r>
    </w:p>
    <w:p w:rsidR="0047053D" w:rsidRDefault="0047053D" w:rsidP="003D2D1B">
      <w:pPr>
        <w:spacing w:line="540" w:lineRule="exact"/>
        <w:ind w:firstLineChars="200" w:firstLine="640"/>
        <w:rPr>
          <w:rFonts w:ascii="仿宋_GB2312" w:eastAsia="仿宋_GB2312"/>
          <w:color w:val="000000"/>
          <w:sz w:val="32"/>
          <w:szCs w:val="32"/>
        </w:rPr>
      </w:pPr>
      <w:r w:rsidRPr="0047053D">
        <w:rPr>
          <w:rFonts w:ascii="仿宋_GB2312" w:eastAsia="仿宋_GB2312" w:hint="eastAsia"/>
          <w:color w:val="000000"/>
          <w:sz w:val="32"/>
          <w:szCs w:val="32"/>
        </w:rPr>
        <w:t>离退休人员0人，其中：离休0人，退休0人。</w:t>
      </w:r>
    </w:p>
    <w:p w:rsidR="000D236F" w:rsidRDefault="000D236F" w:rsidP="003D2D1B">
      <w:pPr>
        <w:spacing w:line="54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2024年度收入预算</w:t>
      </w:r>
      <w:r w:rsidR="0047053D">
        <w:rPr>
          <w:rFonts w:ascii="仿宋_GB2312" w:eastAsia="仿宋_GB2312" w:hint="eastAsia"/>
          <w:sz w:val="32"/>
          <w:szCs w:val="32"/>
        </w:rPr>
        <w:t>508.07</w:t>
      </w:r>
      <w:r>
        <w:rPr>
          <w:rFonts w:ascii="仿宋_GB2312" w:eastAsia="仿宋_GB2312" w:hint="eastAsia"/>
          <w:sz w:val="32"/>
          <w:szCs w:val="32"/>
        </w:rPr>
        <w:t>万元，比2023年年初预算数</w:t>
      </w:r>
      <w:r w:rsidR="0047053D">
        <w:rPr>
          <w:rFonts w:ascii="仿宋_GB2312" w:eastAsia="仿宋_GB2312" w:hint="eastAsia"/>
          <w:sz w:val="32"/>
          <w:szCs w:val="32"/>
        </w:rPr>
        <w:t>441.02</w:t>
      </w:r>
      <w:r>
        <w:rPr>
          <w:rFonts w:ascii="仿宋_GB2312" w:eastAsia="仿宋_GB2312" w:hint="eastAsia"/>
          <w:sz w:val="32"/>
          <w:szCs w:val="32"/>
        </w:rPr>
        <w:t>万元</w:t>
      </w:r>
      <w:r w:rsidR="0047053D">
        <w:rPr>
          <w:rFonts w:ascii="仿宋_GB2312" w:eastAsia="仿宋_GB2312" w:hint="eastAsia"/>
          <w:sz w:val="32"/>
          <w:szCs w:val="32"/>
        </w:rPr>
        <w:t>增加67.05万元，增长15.20%。</w:t>
      </w:r>
      <w:r w:rsidR="0086327C">
        <w:rPr>
          <w:rFonts w:ascii="仿宋_GB2312" w:eastAsia="仿宋_GB2312" w:hint="eastAsia"/>
          <w:sz w:val="32"/>
          <w:szCs w:val="32"/>
        </w:rPr>
        <w:t>主要原因是人员增加及在职人员晋级晋档等</w:t>
      </w:r>
      <w:r w:rsidR="0047053D" w:rsidRPr="0047053D">
        <w:rPr>
          <w:rFonts w:ascii="仿宋_GB2312" w:eastAsia="仿宋_GB2312" w:hint="eastAsia"/>
          <w:sz w:val="32"/>
          <w:szCs w:val="32"/>
        </w:rPr>
        <w:t>。</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sidR="0047053D">
        <w:rPr>
          <w:rFonts w:ascii="仿宋_GB2312" w:eastAsia="仿宋_GB2312" w:hint="eastAsia"/>
          <w:sz w:val="32"/>
          <w:szCs w:val="32"/>
        </w:rPr>
        <w:t>505.67</w:t>
      </w:r>
      <w:r>
        <w:rPr>
          <w:rFonts w:ascii="楷体_GB2312" w:eastAsia="楷体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sidR="0047053D">
        <w:rPr>
          <w:rFonts w:ascii="仿宋_GB2312" w:eastAsia="仿宋_GB2312" w:hint="eastAsia"/>
          <w:sz w:val="32"/>
          <w:szCs w:val="32"/>
        </w:rPr>
        <w:t>505.67</w:t>
      </w:r>
      <w:r>
        <w:rPr>
          <w:rFonts w:ascii="仿宋_GB2312" w:eastAsia="仿宋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sidR="0047053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47053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sidR="0047053D">
        <w:rPr>
          <w:rFonts w:ascii="楷体_GB2312" w:eastAsia="楷体_GB2312" w:hint="eastAsia"/>
          <w:sz w:val="32"/>
          <w:szCs w:val="32"/>
        </w:rPr>
        <w:t>0</w:t>
      </w:r>
      <w:r>
        <w:rPr>
          <w:rFonts w:ascii="楷体_GB2312" w:eastAsia="楷体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sidR="0047053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5.事业收入</w:t>
      </w:r>
      <w:r w:rsidR="0047053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6.上级补助收入</w:t>
      </w:r>
      <w:r w:rsidR="0047053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sidR="0047053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sidR="0047053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9.其他收入</w:t>
      </w:r>
      <w:r w:rsidR="0047053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sidR="0047053D">
        <w:rPr>
          <w:rFonts w:ascii="仿宋_GB2312" w:eastAsia="仿宋_GB2312" w:hint="eastAsia"/>
          <w:sz w:val="32"/>
          <w:szCs w:val="32"/>
        </w:rPr>
        <w:t>2.4</w:t>
      </w:r>
      <w:r>
        <w:rPr>
          <w:rFonts w:ascii="楷体_GB2312" w:eastAsia="楷体_GB2312" w:hint="eastAsia"/>
          <w:sz w:val="32"/>
          <w:szCs w:val="32"/>
        </w:rPr>
        <w:t>万元</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sidR="0047053D">
        <w:rPr>
          <w:rFonts w:ascii="仿宋_GB2312" w:eastAsia="仿宋_GB2312" w:hint="eastAsia"/>
          <w:sz w:val="32"/>
          <w:szCs w:val="32"/>
        </w:rPr>
        <w:t>2.4</w:t>
      </w:r>
      <w:r>
        <w:rPr>
          <w:rFonts w:ascii="仿宋_GB2312" w:eastAsia="仿宋_GB2312" w:hint="eastAsia"/>
          <w:sz w:val="32"/>
          <w:szCs w:val="32"/>
        </w:rPr>
        <w:t>万元。</w:t>
      </w:r>
    </w:p>
    <w:p w:rsidR="000D236F" w:rsidRDefault="009A6A49">
      <w:pPr>
        <w:pStyle w:val="2"/>
        <w:jc w:val="center"/>
      </w:pPr>
      <w:r>
        <w:rPr>
          <w:noProof/>
        </w:rPr>
        <w:drawing>
          <wp:inline distT="0" distB="0" distL="0" distR="0">
            <wp:extent cx="4000500" cy="2505075"/>
            <wp:effectExtent l="19050" t="0" r="19050" b="0"/>
            <wp:docPr id="1" name="对象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D236F" w:rsidRDefault="000D236F">
      <w:pPr>
        <w:pStyle w:val="2"/>
        <w:jc w:val="center"/>
        <w:rPr>
          <w:rFonts w:ascii="仿宋_GB2312" w:eastAsia="仿宋_GB2312"/>
          <w:b w:val="0"/>
          <w:bCs w:val="0"/>
          <w:sz w:val="32"/>
        </w:rPr>
      </w:pPr>
      <w:r>
        <w:rPr>
          <w:rFonts w:ascii="仿宋_GB2312" w:eastAsia="仿宋_GB2312" w:hint="eastAsia"/>
          <w:sz w:val="32"/>
        </w:rPr>
        <w:t>图1：收入预算</w:t>
      </w:r>
    </w:p>
    <w:p w:rsidR="000D236F" w:rsidRDefault="000D236F" w:rsidP="003D2D1B">
      <w:pPr>
        <w:spacing w:line="540" w:lineRule="exact"/>
        <w:ind w:firstLineChars="200" w:firstLine="640"/>
        <w:rPr>
          <w:rFonts w:ascii="黑体" w:eastAsia="黑体"/>
          <w:sz w:val="32"/>
          <w:szCs w:val="32"/>
        </w:rPr>
      </w:pPr>
      <w:r>
        <w:rPr>
          <w:rFonts w:ascii="黑体" w:eastAsia="黑体" w:hint="eastAsia"/>
          <w:sz w:val="32"/>
          <w:szCs w:val="32"/>
        </w:rPr>
        <w:t>三、支出预算情况说明</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2024年支出预算</w:t>
      </w:r>
      <w:r w:rsidR="00E65D11">
        <w:rPr>
          <w:rFonts w:ascii="仿宋_GB2312" w:eastAsia="仿宋_GB2312" w:hint="eastAsia"/>
          <w:sz w:val="32"/>
          <w:szCs w:val="32"/>
        </w:rPr>
        <w:t>508.07</w:t>
      </w:r>
      <w:r>
        <w:rPr>
          <w:rFonts w:ascii="仿宋_GB2312" w:eastAsia="仿宋_GB2312" w:hint="eastAsia"/>
          <w:sz w:val="32"/>
          <w:szCs w:val="32"/>
        </w:rPr>
        <w:t>万元，比2023年年初预算数</w:t>
      </w:r>
      <w:r w:rsidR="00E65D11">
        <w:rPr>
          <w:rFonts w:ascii="仿宋_GB2312" w:eastAsia="仿宋_GB2312" w:hint="eastAsia"/>
          <w:sz w:val="32"/>
          <w:szCs w:val="32"/>
        </w:rPr>
        <w:t>441.02</w:t>
      </w:r>
      <w:r>
        <w:rPr>
          <w:rFonts w:ascii="仿宋_GB2312" w:eastAsia="仿宋_GB2312" w:hint="eastAsia"/>
          <w:sz w:val="32"/>
          <w:szCs w:val="32"/>
        </w:rPr>
        <w:t>万元</w:t>
      </w:r>
      <w:r w:rsidR="00E65D11">
        <w:rPr>
          <w:rFonts w:ascii="仿宋_GB2312" w:eastAsia="仿宋_GB2312" w:hint="eastAsia"/>
          <w:sz w:val="32"/>
          <w:szCs w:val="32"/>
        </w:rPr>
        <w:t>增加67.05万元，增长15.20%，主要原因是</w:t>
      </w:r>
      <w:r w:rsidR="002301A2">
        <w:rPr>
          <w:rFonts w:ascii="仿宋_GB2312" w:eastAsia="仿宋_GB2312" w:hint="eastAsia"/>
          <w:sz w:val="32"/>
          <w:szCs w:val="32"/>
        </w:rPr>
        <w:t>人员增加及在职人员晋级晋档等</w:t>
      </w:r>
      <w:r w:rsidR="00E65D11">
        <w:rPr>
          <w:rFonts w:ascii="仿宋_GB2312" w:eastAsia="仿宋_GB2312" w:hint="eastAsia"/>
          <w:sz w:val="32"/>
          <w:szCs w:val="32"/>
        </w:rPr>
        <w:t>。</w:t>
      </w:r>
    </w:p>
    <w:p w:rsidR="000D236F" w:rsidRDefault="000D236F" w:rsidP="003D2D1B">
      <w:pPr>
        <w:spacing w:line="540" w:lineRule="exact"/>
        <w:ind w:firstLine="20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sidR="00D207BD">
        <w:rPr>
          <w:rFonts w:ascii="仿宋_GB2312" w:eastAsia="仿宋_GB2312" w:hint="eastAsia"/>
          <w:sz w:val="32"/>
          <w:szCs w:val="32"/>
        </w:rPr>
        <w:t>508.07</w:t>
      </w:r>
      <w:r>
        <w:rPr>
          <w:rFonts w:ascii="仿宋_GB2312" w:eastAsia="仿宋_GB2312" w:hint="eastAsia"/>
          <w:sz w:val="32"/>
          <w:szCs w:val="32"/>
        </w:rPr>
        <w:t>万元，占总支出预算</w:t>
      </w:r>
      <w:r w:rsidR="00D207BD">
        <w:rPr>
          <w:rFonts w:ascii="仿宋_GB2312" w:eastAsia="仿宋_GB2312" w:hint="eastAsia"/>
          <w:sz w:val="32"/>
          <w:szCs w:val="32"/>
        </w:rPr>
        <w:t>100</w:t>
      </w:r>
      <w:r>
        <w:rPr>
          <w:rFonts w:ascii="仿宋_GB2312" w:eastAsia="仿宋_GB2312" w:hint="eastAsia"/>
          <w:sz w:val="32"/>
          <w:szCs w:val="32"/>
        </w:rPr>
        <w:t>%，比2023年年初预算数</w:t>
      </w:r>
      <w:r w:rsidR="00D207BD">
        <w:rPr>
          <w:rFonts w:ascii="仿宋_GB2312" w:eastAsia="仿宋_GB2312" w:hint="eastAsia"/>
          <w:sz w:val="32"/>
          <w:szCs w:val="32"/>
        </w:rPr>
        <w:t>441.02</w:t>
      </w:r>
      <w:r>
        <w:rPr>
          <w:rFonts w:ascii="仿宋_GB2312" w:eastAsia="仿宋_GB2312" w:hint="eastAsia"/>
          <w:sz w:val="32"/>
          <w:szCs w:val="32"/>
        </w:rPr>
        <w:t>万元增加</w:t>
      </w:r>
      <w:r w:rsidR="00D207BD">
        <w:rPr>
          <w:rFonts w:ascii="仿宋_GB2312" w:eastAsia="仿宋_GB2312" w:hint="eastAsia"/>
          <w:sz w:val="32"/>
          <w:szCs w:val="32"/>
        </w:rPr>
        <w:t>67.05</w:t>
      </w:r>
      <w:r>
        <w:rPr>
          <w:rFonts w:ascii="仿宋_GB2312" w:eastAsia="仿宋_GB2312" w:hint="eastAsia"/>
          <w:sz w:val="32"/>
          <w:szCs w:val="32"/>
        </w:rPr>
        <w:t>万元，增长</w:t>
      </w:r>
      <w:r w:rsidR="00D207BD">
        <w:rPr>
          <w:rFonts w:ascii="仿宋_GB2312" w:eastAsia="仿宋_GB2312" w:hint="eastAsia"/>
          <w:sz w:val="32"/>
          <w:szCs w:val="32"/>
        </w:rPr>
        <w:t>15.20</w:t>
      </w:r>
      <w:r>
        <w:rPr>
          <w:rFonts w:ascii="仿宋_GB2312" w:eastAsia="仿宋_GB2312" w:hint="eastAsia"/>
          <w:sz w:val="32"/>
          <w:szCs w:val="32"/>
        </w:rPr>
        <w:t>%。</w:t>
      </w:r>
    </w:p>
    <w:p w:rsidR="000D236F" w:rsidRDefault="000D236F" w:rsidP="003D2D1B">
      <w:pPr>
        <w:spacing w:line="540" w:lineRule="exact"/>
        <w:ind w:firstLine="200"/>
        <w:rPr>
          <w:rFonts w:ascii="仿宋_GB2312" w:eastAsia="仿宋_GB2312"/>
          <w:sz w:val="32"/>
          <w:szCs w:val="32"/>
        </w:rPr>
      </w:pPr>
      <w:r>
        <w:rPr>
          <w:rFonts w:ascii="楷体_GB2312" w:eastAsia="楷体_GB2312" w:hAnsi="楷体_GB2312" w:cs="楷体_GB2312" w:hint="eastAsia"/>
          <w:sz w:val="32"/>
          <w:szCs w:val="32"/>
        </w:rPr>
        <w:t>（二）项目支出。</w:t>
      </w:r>
      <w:r w:rsidR="00D207BD">
        <w:rPr>
          <w:rFonts w:ascii="仿宋_GB2312" w:eastAsia="仿宋_GB2312" w:hint="eastAsia"/>
          <w:sz w:val="32"/>
          <w:szCs w:val="32"/>
        </w:rPr>
        <w:t>项目支出预算</w:t>
      </w:r>
      <w:r w:rsidR="00D207BD">
        <w:rPr>
          <w:rFonts w:ascii="仿宋_GB2312" w:eastAsia="仿宋_GB2312" w:hint="eastAsia"/>
          <w:color w:val="000000"/>
          <w:sz w:val="32"/>
          <w:szCs w:val="32"/>
        </w:rPr>
        <w:t>0</w:t>
      </w:r>
      <w:r w:rsidR="00D207BD">
        <w:rPr>
          <w:rFonts w:ascii="仿宋_GB2312" w:eastAsia="仿宋_GB2312" w:hint="eastAsia"/>
          <w:sz w:val="32"/>
          <w:szCs w:val="32"/>
        </w:rPr>
        <w:t>万元，与2023年年初预</w:t>
      </w:r>
      <w:r w:rsidR="00D207BD">
        <w:rPr>
          <w:rFonts w:ascii="仿宋_GB2312" w:eastAsia="仿宋_GB2312" w:hint="eastAsia"/>
          <w:sz w:val="32"/>
          <w:szCs w:val="32"/>
        </w:rPr>
        <w:lastRenderedPageBreak/>
        <w:t>算数</w:t>
      </w:r>
      <w:r w:rsidR="00D207BD">
        <w:rPr>
          <w:rFonts w:ascii="仿宋_GB2312" w:eastAsia="仿宋_GB2312" w:hint="eastAsia"/>
          <w:color w:val="000000"/>
          <w:sz w:val="32"/>
          <w:szCs w:val="32"/>
        </w:rPr>
        <w:t>0</w:t>
      </w:r>
      <w:r w:rsidR="00D207BD">
        <w:rPr>
          <w:rFonts w:ascii="仿宋_GB2312" w:eastAsia="仿宋_GB2312" w:hint="eastAsia"/>
          <w:sz w:val="32"/>
          <w:szCs w:val="32"/>
        </w:rPr>
        <w:t>万元</w:t>
      </w:r>
      <w:r w:rsidR="00D207BD">
        <w:rPr>
          <w:rFonts w:ascii="仿宋_GB2312" w:eastAsia="仿宋_GB2312" w:hint="eastAsia"/>
          <w:color w:val="000000"/>
          <w:sz w:val="32"/>
          <w:szCs w:val="32"/>
        </w:rPr>
        <w:t>持平</w:t>
      </w:r>
      <w:r w:rsidR="00D207BD">
        <w:rPr>
          <w:rFonts w:ascii="仿宋_GB2312" w:eastAsia="仿宋_GB2312" w:hint="eastAsia"/>
          <w:sz w:val="32"/>
          <w:szCs w:val="32"/>
        </w:rPr>
        <w:t>。其中：</w:t>
      </w:r>
      <w:r>
        <w:rPr>
          <w:rFonts w:ascii="仿宋_GB2312" w:eastAsia="仿宋_GB2312" w:hint="eastAsia"/>
          <w:sz w:val="32"/>
          <w:szCs w:val="32"/>
        </w:rPr>
        <w:t>。其中：</w:t>
      </w:r>
    </w:p>
    <w:p w:rsidR="000D236F" w:rsidRDefault="000D236F" w:rsidP="003D2D1B">
      <w:pPr>
        <w:spacing w:line="540" w:lineRule="exact"/>
        <w:ind w:firstLine="200"/>
        <w:rPr>
          <w:rFonts w:ascii="仿宋_GB2312" w:eastAsia="仿宋_GB2312"/>
          <w:sz w:val="32"/>
          <w:szCs w:val="32"/>
        </w:rPr>
      </w:pPr>
      <w:r>
        <w:rPr>
          <w:rFonts w:ascii="仿宋_GB2312" w:eastAsia="仿宋_GB2312" w:hint="eastAsia"/>
          <w:sz w:val="32"/>
          <w:szCs w:val="32"/>
        </w:rPr>
        <w:t>1.事业单位经营支出</w:t>
      </w:r>
      <w:r w:rsidR="00D207B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200"/>
        <w:rPr>
          <w:rFonts w:ascii="仿宋_GB2312" w:eastAsia="仿宋_GB2312"/>
          <w:sz w:val="32"/>
          <w:szCs w:val="32"/>
        </w:rPr>
      </w:pPr>
      <w:r>
        <w:rPr>
          <w:rFonts w:ascii="仿宋_GB2312" w:eastAsia="仿宋_GB2312" w:hint="eastAsia"/>
          <w:sz w:val="32"/>
          <w:szCs w:val="32"/>
        </w:rPr>
        <w:t>2.上缴上级支出</w:t>
      </w:r>
      <w:r w:rsidR="00D207BD">
        <w:rPr>
          <w:rFonts w:ascii="仿宋_GB2312" w:eastAsia="仿宋_GB2312" w:hint="eastAsia"/>
          <w:sz w:val="32"/>
          <w:szCs w:val="32"/>
        </w:rPr>
        <w:t>0</w:t>
      </w:r>
      <w:r>
        <w:rPr>
          <w:rFonts w:ascii="仿宋_GB2312" w:eastAsia="仿宋_GB2312" w:hint="eastAsia"/>
          <w:sz w:val="32"/>
          <w:szCs w:val="32"/>
        </w:rPr>
        <w:t>万元。</w:t>
      </w:r>
    </w:p>
    <w:p w:rsidR="000D236F" w:rsidRDefault="000D236F" w:rsidP="003D2D1B">
      <w:pPr>
        <w:spacing w:line="540" w:lineRule="exact"/>
        <w:ind w:firstLine="200"/>
        <w:rPr>
          <w:rFonts w:ascii="仿宋_GB2312" w:eastAsia="仿宋_GB2312"/>
          <w:sz w:val="32"/>
          <w:szCs w:val="32"/>
        </w:rPr>
      </w:pPr>
      <w:r>
        <w:rPr>
          <w:rFonts w:ascii="仿宋_GB2312" w:eastAsia="仿宋_GB2312" w:hint="eastAsia"/>
          <w:sz w:val="32"/>
          <w:szCs w:val="32"/>
        </w:rPr>
        <w:t>3.对附属单位补助支出</w:t>
      </w:r>
      <w:r w:rsidR="00D207BD">
        <w:rPr>
          <w:rFonts w:ascii="仿宋_GB2312" w:eastAsia="仿宋_GB2312" w:hint="eastAsia"/>
          <w:sz w:val="32"/>
          <w:szCs w:val="32"/>
        </w:rPr>
        <w:t>0</w:t>
      </w:r>
      <w:r>
        <w:rPr>
          <w:rFonts w:ascii="仿宋_GB2312" w:eastAsia="仿宋_GB2312" w:hint="eastAsia"/>
          <w:sz w:val="32"/>
          <w:szCs w:val="32"/>
        </w:rPr>
        <w:t>万元。</w:t>
      </w:r>
    </w:p>
    <w:p w:rsidR="000D236F" w:rsidRDefault="00D207BD">
      <w:pPr>
        <w:pStyle w:val="2"/>
        <w:ind w:firstLine="642"/>
        <w:jc w:val="center"/>
      </w:pPr>
      <w:r w:rsidRPr="00D207BD">
        <w:rPr>
          <w:noProof/>
        </w:rPr>
        <w:drawing>
          <wp:inline distT="0" distB="0" distL="0" distR="0">
            <wp:extent cx="3790950" cy="2518555"/>
            <wp:effectExtent l="19050" t="0" r="19050" b="0"/>
            <wp:docPr id="7" name="对象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D236F" w:rsidRDefault="000D236F">
      <w:pPr>
        <w:pStyle w:val="2"/>
        <w:ind w:firstLine="642"/>
        <w:jc w:val="center"/>
      </w:pPr>
      <w:r>
        <w:rPr>
          <w:rFonts w:ascii="仿宋_GB2312" w:eastAsia="仿宋_GB2312" w:hint="eastAsia"/>
          <w:sz w:val="32"/>
        </w:rPr>
        <w:t>图2：基本支出和项目支出情况</w:t>
      </w:r>
    </w:p>
    <w:p w:rsidR="000D236F" w:rsidRDefault="000D236F" w:rsidP="003D2D1B">
      <w:pPr>
        <w:numPr>
          <w:ilvl w:val="0"/>
          <w:numId w:val="2"/>
        </w:numPr>
        <w:spacing w:line="54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w:t>
      </w:r>
      <w:r w:rsidR="00D207BD">
        <w:rPr>
          <w:rFonts w:ascii="楷体_GB2312" w:eastAsia="楷体_GB2312" w:hAnsi="楷体_GB2312" w:cs="楷体_GB2312" w:hint="eastAsia"/>
          <w:color w:val="000000"/>
          <w:sz w:val="32"/>
          <w:szCs w:val="32"/>
        </w:rPr>
        <w:t>0</w:t>
      </w:r>
      <w:r>
        <w:rPr>
          <w:rFonts w:ascii="楷体_GB2312" w:eastAsia="楷体_GB2312" w:hAnsi="楷体_GB2312" w:cs="楷体_GB2312" w:hint="eastAsia"/>
          <w:color w:val="000000"/>
          <w:sz w:val="32"/>
          <w:szCs w:val="32"/>
        </w:rPr>
        <w:t>万元</w:t>
      </w:r>
    </w:p>
    <w:p w:rsidR="000D236F" w:rsidRDefault="000D236F" w:rsidP="003D2D1B">
      <w:pPr>
        <w:spacing w:line="54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E01D91" w:rsidRDefault="00E01D91" w:rsidP="003D2D1B">
      <w:pPr>
        <w:spacing w:line="540" w:lineRule="exact"/>
        <w:ind w:firstLine="555"/>
        <w:rPr>
          <w:rFonts w:ascii="仿宋_GB2312" w:eastAsia="仿宋_GB2312"/>
          <w:sz w:val="32"/>
          <w:szCs w:val="32"/>
        </w:rPr>
      </w:pPr>
      <w:r>
        <w:rPr>
          <w:rFonts w:ascii="仿宋_GB2312" w:eastAsia="仿宋_GB2312" w:hint="eastAsia"/>
          <w:sz w:val="32"/>
          <w:szCs w:val="32"/>
        </w:rPr>
        <w:t>北京市统计监测评价中心因公出国（境）费用、公务接待费、公务用车购置和运行维护费开支单位包括1个所属单位。</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2024年财政拨款“三公”经费预算</w:t>
      </w:r>
      <w:r w:rsidR="00E01D91">
        <w:rPr>
          <w:rFonts w:ascii="仿宋_GB2312" w:eastAsia="仿宋_GB2312" w:hint="eastAsia"/>
          <w:sz w:val="32"/>
          <w:szCs w:val="32"/>
        </w:rPr>
        <w:t>2.4</w:t>
      </w:r>
      <w:r>
        <w:rPr>
          <w:rFonts w:ascii="仿宋_GB2312" w:eastAsia="仿宋_GB2312" w:hint="eastAsia"/>
          <w:sz w:val="32"/>
          <w:szCs w:val="32"/>
        </w:rPr>
        <w:t>万元，比2023年财政拨款“三公”经费预算减少</w:t>
      </w:r>
      <w:r w:rsidR="00E01D91">
        <w:rPr>
          <w:rFonts w:ascii="仿宋_GB2312" w:eastAsia="仿宋_GB2312" w:hint="eastAsia"/>
          <w:sz w:val="32"/>
          <w:szCs w:val="32"/>
        </w:rPr>
        <w:t>1.35</w:t>
      </w:r>
      <w:r>
        <w:rPr>
          <w:rFonts w:ascii="仿宋_GB2312" w:eastAsia="仿宋_GB2312" w:hint="eastAsia"/>
          <w:sz w:val="32"/>
          <w:szCs w:val="32"/>
        </w:rPr>
        <w:t>万元。其中：</w:t>
      </w:r>
    </w:p>
    <w:p w:rsidR="00E01D91" w:rsidRDefault="000D236F" w:rsidP="003D2D1B">
      <w:pPr>
        <w:spacing w:line="540" w:lineRule="exact"/>
        <w:ind w:firstLine="555"/>
        <w:rPr>
          <w:rFonts w:ascii="仿宋_GB2312" w:eastAsia="仿宋_GB2312"/>
          <w:sz w:val="32"/>
          <w:szCs w:val="32"/>
        </w:rPr>
      </w:pPr>
      <w:r>
        <w:rPr>
          <w:rFonts w:ascii="仿宋_GB2312" w:eastAsia="仿宋_GB2312" w:hint="eastAsia"/>
          <w:sz w:val="32"/>
          <w:szCs w:val="32"/>
        </w:rPr>
        <w:t>1.因公出国（境）费用。2024年预算数</w:t>
      </w:r>
      <w:r w:rsidR="00E01D91">
        <w:rPr>
          <w:rFonts w:ascii="仿宋_GB2312" w:eastAsia="仿宋_GB2312" w:hint="eastAsia"/>
          <w:sz w:val="32"/>
          <w:szCs w:val="32"/>
        </w:rPr>
        <w:t>0</w:t>
      </w:r>
      <w:r>
        <w:rPr>
          <w:rFonts w:ascii="仿宋_GB2312" w:eastAsia="仿宋_GB2312" w:hint="eastAsia"/>
          <w:sz w:val="32"/>
          <w:szCs w:val="32"/>
        </w:rPr>
        <w:t>万元，</w:t>
      </w:r>
      <w:r w:rsidR="00E01D91">
        <w:rPr>
          <w:rFonts w:ascii="仿宋_GB2312" w:eastAsia="仿宋_GB2312" w:hint="eastAsia"/>
          <w:sz w:val="32"/>
          <w:szCs w:val="32"/>
        </w:rPr>
        <w:t>与2023年预算数0万元持平。</w:t>
      </w:r>
    </w:p>
    <w:p w:rsidR="00E01D91" w:rsidRDefault="00E01D91" w:rsidP="003D2D1B">
      <w:pPr>
        <w:spacing w:line="540" w:lineRule="exact"/>
        <w:ind w:firstLine="555"/>
        <w:rPr>
          <w:rFonts w:ascii="仿宋_GB2312" w:eastAsia="仿宋_GB2312"/>
          <w:sz w:val="32"/>
          <w:szCs w:val="32"/>
        </w:rPr>
      </w:pPr>
      <w:r>
        <w:rPr>
          <w:rFonts w:ascii="仿宋_GB2312" w:eastAsia="仿宋_GB2312" w:hint="eastAsia"/>
          <w:sz w:val="32"/>
          <w:szCs w:val="32"/>
        </w:rPr>
        <w:lastRenderedPageBreak/>
        <w:t>2.公务接待费。2024年预算数0万元，与2023年预算数0万元持平。</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3.公务用车购置和运行维护费。2024年预算数</w:t>
      </w:r>
      <w:r w:rsidR="00E01D91">
        <w:rPr>
          <w:rFonts w:ascii="仿宋_GB2312" w:eastAsia="仿宋_GB2312" w:hint="eastAsia"/>
          <w:sz w:val="32"/>
          <w:szCs w:val="32"/>
        </w:rPr>
        <w:t>2.4</w:t>
      </w:r>
      <w:r>
        <w:rPr>
          <w:rFonts w:ascii="仿宋_GB2312" w:eastAsia="仿宋_GB2312" w:hint="eastAsia"/>
          <w:sz w:val="32"/>
          <w:szCs w:val="32"/>
        </w:rPr>
        <w:t>万元，包括：公务用车购置费2024年预算数</w:t>
      </w:r>
      <w:r w:rsidR="00E01D91">
        <w:rPr>
          <w:rFonts w:ascii="仿宋_GB2312" w:eastAsia="仿宋_GB2312" w:hint="eastAsia"/>
          <w:sz w:val="32"/>
          <w:szCs w:val="32"/>
        </w:rPr>
        <w:t>0</w:t>
      </w:r>
      <w:r>
        <w:rPr>
          <w:rFonts w:ascii="仿宋_GB2312" w:eastAsia="仿宋_GB2312" w:hint="eastAsia"/>
          <w:sz w:val="32"/>
          <w:szCs w:val="32"/>
        </w:rPr>
        <w:t>万元，</w:t>
      </w:r>
      <w:r w:rsidR="00E01D91">
        <w:rPr>
          <w:rFonts w:ascii="仿宋_GB2312" w:eastAsia="仿宋_GB2312" w:hint="eastAsia"/>
          <w:sz w:val="32"/>
          <w:szCs w:val="32"/>
        </w:rPr>
        <w:t>与</w:t>
      </w:r>
      <w:r>
        <w:rPr>
          <w:rFonts w:ascii="仿宋_GB2312" w:eastAsia="仿宋_GB2312" w:hint="eastAsia"/>
          <w:sz w:val="32"/>
          <w:szCs w:val="32"/>
        </w:rPr>
        <w:t>2023年年初预算数</w:t>
      </w:r>
      <w:r w:rsidR="00A03798">
        <w:rPr>
          <w:rFonts w:ascii="仿宋_GB2312" w:eastAsia="仿宋_GB2312" w:hint="eastAsia"/>
          <w:sz w:val="32"/>
          <w:szCs w:val="32"/>
        </w:rPr>
        <w:t>持平</w:t>
      </w:r>
      <w:r>
        <w:rPr>
          <w:rFonts w:ascii="仿宋_GB2312" w:eastAsia="仿宋_GB2312" w:hint="eastAsia"/>
          <w:sz w:val="32"/>
          <w:szCs w:val="32"/>
        </w:rPr>
        <w:t>；公务用车运行维护费2024年预算数</w:t>
      </w:r>
      <w:r w:rsidR="00A03798">
        <w:rPr>
          <w:rFonts w:ascii="仿宋_GB2312" w:eastAsia="仿宋_GB2312" w:hint="eastAsia"/>
          <w:sz w:val="32"/>
          <w:szCs w:val="32"/>
        </w:rPr>
        <w:t>2.4</w:t>
      </w:r>
      <w:r>
        <w:rPr>
          <w:rFonts w:ascii="仿宋_GB2312" w:eastAsia="仿宋_GB2312" w:hint="eastAsia"/>
          <w:sz w:val="32"/>
          <w:szCs w:val="32"/>
        </w:rPr>
        <w:t>万元，其中：公务用车燃油</w:t>
      </w:r>
      <w:r w:rsidR="00A03798">
        <w:rPr>
          <w:rFonts w:ascii="仿宋_GB2312" w:eastAsia="仿宋_GB2312" w:hint="eastAsia"/>
          <w:sz w:val="32"/>
          <w:szCs w:val="32"/>
        </w:rPr>
        <w:t>1</w:t>
      </w:r>
      <w:r>
        <w:rPr>
          <w:rFonts w:ascii="仿宋_GB2312" w:eastAsia="仿宋_GB2312" w:hint="eastAsia"/>
          <w:sz w:val="32"/>
          <w:szCs w:val="32"/>
        </w:rPr>
        <w:t>万元，公务用车维修</w:t>
      </w:r>
      <w:r w:rsidR="00A03798">
        <w:rPr>
          <w:rFonts w:ascii="仿宋_GB2312" w:eastAsia="仿宋_GB2312" w:hint="eastAsia"/>
          <w:sz w:val="32"/>
          <w:szCs w:val="32"/>
        </w:rPr>
        <w:t>0.45</w:t>
      </w:r>
      <w:r>
        <w:rPr>
          <w:rFonts w:ascii="仿宋_GB2312" w:eastAsia="仿宋_GB2312" w:hint="eastAsia"/>
          <w:sz w:val="32"/>
          <w:szCs w:val="32"/>
        </w:rPr>
        <w:t>万元，公务用车保险</w:t>
      </w:r>
      <w:r w:rsidR="00A03798">
        <w:rPr>
          <w:rFonts w:ascii="仿宋_GB2312" w:eastAsia="仿宋_GB2312" w:hint="eastAsia"/>
          <w:sz w:val="32"/>
          <w:szCs w:val="32"/>
        </w:rPr>
        <w:t>0.45</w:t>
      </w:r>
      <w:r>
        <w:rPr>
          <w:rFonts w:ascii="仿宋_GB2312" w:eastAsia="仿宋_GB2312" w:hint="eastAsia"/>
          <w:sz w:val="32"/>
          <w:szCs w:val="32"/>
        </w:rPr>
        <w:t>万元，其他支出</w:t>
      </w:r>
      <w:r w:rsidR="00A03798">
        <w:rPr>
          <w:rFonts w:ascii="仿宋_GB2312" w:eastAsia="仿宋_GB2312" w:hint="eastAsia"/>
          <w:sz w:val="32"/>
          <w:szCs w:val="32"/>
        </w:rPr>
        <w:t>0.50</w:t>
      </w:r>
      <w:r>
        <w:rPr>
          <w:rFonts w:ascii="仿宋_GB2312" w:eastAsia="仿宋_GB2312" w:hint="eastAsia"/>
          <w:sz w:val="32"/>
          <w:szCs w:val="32"/>
        </w:rPr>
        <w:t>万元。公务用车运行维护费2024年预算数比2023年年初预算数</w:t>
      </w:r>
      <w:r w:rsidR="00A03798">
        <w:rPr>
          <w:rFonts w:ascii="仿宋_GB2312" w:eastAsia="仿宋_GB2312" w:hint="eastAsia"/>
          <w:sz w:val="32"/>
          <w:szCs w:val="32"/>
        </w:rPr>
        <w:t>3.75万元</w:t>
      </w:r>
      <w:r>
        <w:rPr>
          <w:rFonts w:ascii="仿宋_GB2312" w:eastAsia="仿宋_GB2312" w:hint="eastAsia"/>
          <w:sz w:val="32"/>
          <w:szCs w:val="32"/>
        </w:rPr>
        <w:t>减少</w:t>
      </w:r>
      <w:r w:rsidR="00A03798">
        <w:rPr>
          <w:rFonts w:ascii="仿宋_GB2312" w:eastAsia="仿宋_GB2312" w:hint="eastAsia"/>
          <w:sz w:val="32"/>
          <w:szCs w:val="32"/>
        </w:rPr>
        <w:t>1.35</w:t>
      </w:r>
      <w:r>
        <w:rPr>
          <w:rFonts w:ascii="仿宋_GB2312" w:eastAsia="仿宋_GB2312" w:hint="eastAsia"/>
          <w:sz w:val="32"/>
          <w:szCs w:val="32"/>
        </w:rPr>
        <w:t>万元，主要原因：</w:t>
      </w:r>
      <w:r w:rsidR="00E01D91" w:rsidRPr="00E01D91">
        <w:rPr>
          <w:rFonts w:ascii="仿宋_GB2312" w:eastAsia="仿宋_GB2312" w:hint="eastAsia"/>
          <w:sz w:val="32"/>
          <w:szCs w:val="32"/>
        </w:rPr>
        <w:t>落实政府“过紧日子”要求，进一步压减一般性支出。</w:t>
      </w:r>
    </w:p>
    <w:p w:rsidR="000D236F" w:rsidRDefault="000D236F" w:rsidP="003D2D1B">
      <w:pPr>
        <w:spacing w:line="540" w:lineRule="exact"/>
        <w:ind w:firstLineChars="200" w:firstLine="640"/>
        <w:rPr>
          <w:rFonts w:ascii="黑体" w:eastAsia="黑体"/>
          <w:sz w:val="32"/>
          <w:szCs w:val="32"/>
        </w:rPr>
      </w:pPr>
      <w:r>
        <w:rPr>
          <w:rFonts w:ascii="黑体" w:eastAsia="黑体" w:hint="eastAsia"/>
          <w:sz w:val="32"/>
          <w:szCs w:val="32"/>
        </w:rPr>
        <w:t>五、其他情况说明</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2024年</w:t>
      </w:r>
      <w:r w:rsidR="00AE2FB6">
        <w:rPr>
          <w:rFonts w:ascii="仿宋_GB2312" w:eastAsia="仿宋_GB2312" w:hint="eastAsia"/>
          <w:sz w:val="32"/>
          <w:szCs w:val="32"/>
        </w:rPr>
        <w:t>北京市统计监测评价中心</w:t>
      </w:r>
      <w:r>
        <w:rPr>
          <w:rFonts w:ascii="仿宋_GB2312" w:eastAsia="仿宋_GB2312" w:hint="eastAsia"/>
          <w:sz w:val="32"/>
          <w:szCs w:val="32"/>
        </w:rPr>
        <w:t>政府采购预算总额</w:t>
      </w:r>
      <w:r w:rsidR="00E172A7">
        <w:rPr>
          <w:rFonts w:ascii="仿宋_GB2312" w:eastAsia="仿宋_GB2312" w:hint="eastAsia"/>
          <w:sz w:val="32"/>
          <w:szCs w:val="32"/>
        </w:rPr>
        <w:t>1.43</w:t>
      </w:r>
      <w:r>
        <w:rPr>
          <w:rFonts w:ascii="仿宋_GB2312" w:eastAsia="仿宋_GB2312" w:hint="eastAsia"/>
          <w:sz w:val="32"/>
          <w:szCs w:val="32"/>
        </w:rPr>
        <w:t>万元，其中：政府采购货物预算</w:t>
      </w:r>
      <w:r w:rsidR="00E172A7">
        <w:rPr>
          <w:rFonts w:ascii="仿宋_GB2312" w:eastAsia="仿宋_GB2312" w:hint="eastAsia"/>
          <w:sz w:val="32"/>
          <w:szCs w:val="32"/>
        </w:rPr>
        <w:t>0</w:t>
      </w:r>
      <w:r>
        <w:rPr>
          <w:rFonts w:ascii="仿宋_GB2312" w:eastAsia="仿宋_GB2312" w:hint="eastAsia"/>
          <w:sz w:val="32"/>
          <w:szCs w:val="32"/>
        </w:rPr>
        <w:t>万元，政府采购工程预算</w:t>
      </w:r>
      <w:r w:rsidR="00E172A7">
        <w:rPr>
          <w:rFonts w:ascii="仿宋_GB2312" w:eastAsia="仿宋_GB2312" w:hint="eastAsia"/>
          <w:sz w:val="32"/>
          <w:szCs w:val="32"/>
        </w:rPr>
        <w:t>0</w:t>
      </w:r>
      <w:r>
        <w:rPr>
          <w:rFonts w:ascii="仿宋_GB2312" w:eastAsia="仿宋_GB2312" w:hint="eastAsia"/>
          <w:sz w:val="32"/>
          <w:szCs w:val="32"/>
        </w:rPr>
        <w:t>万元，政府采购服务预算</w:t>
      </w:r>
      <w:r w:rsidR="00E172A7">
        <w:rPr>
          <w:rFonts w:ascii="仿宋_GB2312" w:eastAsia="仿宋_GB2312" w:hint="eastAsia"/>
          <w:sz w:val="32"/>
          <w:szCs w:val="32"/>
        </w:rPr>
        <w:t>1.43</w:t>
      </w:r>
      <w:r>
        <w:rPr>
          <w:rFonts w:ascii="仿宋_GB2312" w:eastAsia="仿宋_GB2312" w:hint="eastAsia"/>
          <w:sz w:val="32"/>
          <w:szCs w:val="32"/>
        </w:rPr>
        <w:t>万元。</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0D236F" w:rsidRDefault="000D236F"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2024</w:t>
      </w:r>
      <w:r w:rsidR="00E172A7">
        <w:rPr>
          <w:rFonts w:ascii="仿宋_GB2312" w:eastAsia="仿宋_GB2312" w:hint="eastAsia"/>
          <w:sz w:val="32"/>
          <w:szCs w:val="32"/>
        </w:rPr>
        <w:t>年北京市统计监测评价中心政府购买服务预算总额0万元。</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561B04" w:rsidRDefault="00561B04"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北京市统计监测评价中心，不是行政单位（含参照公务员法管理事业单位），不在机关运行经费统计范围内。</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sz w:val="32"/>
          <w:szCs w:val="32"/>
        </w:rPr>
        <w:t>2024年，</w:t>
      </w:r>
      <w:r w:rsidR="00723D95">
        <w:rPr>
          <w:rFonts w:ascii="仿宋_GB2312" w:eastAsia="仿宋_GB2312" w:hint="eastAsia"/>
          <w:sz w:val="32"/>
          <w:szCs w:val="32"/>
        </w:rPr>
        <w:t>北京市统计监测评价中心</w:t>
      </w:r>
      <w:r>
        <w:rPr>
          <w:rFonts w:ascii="仿宋_GB2312" w:eastAsia="仿宋_GB2312" w:hint="eastAsia"/>
          <w:sz w:val="32"/>
          <w:szCs w:val="32"/>
        </w:rPr>
        <w:t>填报绩效目标的预算项目</w:t>
      </w:r>
      <w:r w:rsidR="00723D95">
        <w:rPr>
          <w:rFonts w:ascii="仿宋_GB2312" w:eastAsia="仿宋_GB2312" w:hint="eastAsia"/>
          <w:sz w:val="32"/>
          <w:szCs w:val="32"/>
        </w:rPr>
        <w:t>0</w:t>
      </w:r>
      <w:r>
        <w:rPr>
          <w:rFonts w:ascii="仿宋_GB2312" w:eastAsia="仿宋_GB2312" w:hint="eastAsia"/>
          <w:sz w:val="32"/>
          <w:szCs w:val="32"/>
        </w:rPr>
        <w:t>个，占本单位本年预算项目</w:t>
      </w:r>
      <w:r w:rsidR="00723D95">
        <w:rPr>
          <w:rFonts w:ascii="仿宋_GB2312" w:eastAsia="仿宋_GB2312" w:hint="eastAsia"/>
          <w:sz w:val="32"/>
          <w:szCs w:val="32"/>
        </w:rPr>
        <w:t>0</w:t>
      </w:r>
      <w:r>
        <w:rPr>
          <w:rFonts w:ascii="仿宋_GB2312" w:eastAsia="仿宋_GB2312" w:hint="eastAsia"/>
          <w:sz w:val="32"/>
          <w:szCs w:val="32"/>
        </w:rPr>
        <w:t>个的</w:t>
      </w:r>
      <w:r w:rsidR="00723D95">
        <w:rPr>
          <w:rFonts w:ascii="仿宋_GB2312" w:eastAsia="仿宋_GB2312" w:hint="eastAsia"/>
          <w:sz w:val="32"/>
          <w:szCs w:val="32"/>
        </w:rPr>
        <w:t>0</w:t>
      </w:r>
      <w:r>
        <w:rPr>
          <w:rFonts w:ascii="仿宋_GB2312" w:eastAsia="仿宋_GB2312" w:hint="eastAsia"/>
          <w:sz w:val="32"/>
          <w:szCs w:val="32"/>
        </w:rPr>
        <w:t>%。填报绩效目标的项目支出预算</w:t>
      </w:r>
      <w:r w:rsidR="00723D95">
        <w:rPr>
          <w:rFonts w:ascii="仿宋_GB2312" w:eastAsia="仿宋_GB2312" w:hint="eastAsia"/>
          <w:sz w:val="32"/>
          <w:szCs w:val="32"/>
        </w:rPr>
        <w:t>0</w:t>
      </w:r>
      <w:r>
        <w:rPr>
          <w:rFonts w:ascii="仿宋_GB2312" w:eastAsia="仿宋_GB2312" w:hint="eastAsia"/>
          <w:sz w:val="32"/>
          <w:szCs w:val="32"/>
        </w:rPr>
        <w:t>万元，占本单位本年项目支出预算的</w:t>
      </w:r>
      <w:r w:rsidR="00723D95">
        <w:rPr>
          <w:rFonts w:ascii="仿宋_GB2312" w:eastAsia="仿宋_GB2312" w:hint="eastAsia"/>
          <w:sz w:val="32"/>
          <w:szCs w:val="32"/>
        </w:rPr>
        <w:t>0</w:t>
      </w:r>
      <w:r>
        <w:rPr>
          <w:rFonts w:ascii="仿宋_GB2312" w:eastAsia="仿宋_GB2312" w:hint="eastAsia"/>
          <w:sz w:val="32"/>
          <w:szCs w:val="32"/>
        </w:rPr>
        <w:t>%。</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lastRenderedPageBreak/>
        <w:t>（五）重点行政事业性收费情况说明</w:t>
      </w:r>
    </w:p>
    <w:p w:rsidR="000D236F" w:rsidRDefault="00723D95" w:rsidP="003D2D1B">
      <w:pPr>
        <w:spacing w:line="540" w:lineRule="exact"/>
        <w:ind w:firstLineChars="200" w:firstLine="640"/>
        <w:rPr>
          <w:rFonts w:ascii="仿宋_GB2312" w:eastAsia="仿宋_GB2312"/>
          <w:color w:val="000000"/>
          <w:sz w:val="32"/>
          <w:szCs w:val="32"/>
        </w:rPr>
      </w:pPr>
      <w:r>
        <w:rPr>
          <w:rFonts w:ascii="仿宋_GB2312" w:eastAsia="仿宋_GB2312" w:hint="eastAsia"/>
          <w:sz w:val="32"/>
          <w:szCs w:val="32"/>
        </w:rPr>
        <w:t>本单位2024年无重点行政事业性收费。</w:t>
      </w:r>
    </w:p>
    <w:p w:rsidR="000D236F" w:rsidRDefault="000D236F" w:rsidP="003D2D1B">
      <w:pPr>
        <w:spacing w:line="54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723D95" w:rsidRDefault="00723D95" w:rsidP="003D2D1B">
      <w:pPr>
        <w:spacing w:line="540" w:lineRule="exact"/>
        <w:ind w:firstLineChars="200" w:firstLine="640"/>
        <w:rPr>
          <w:rFonts w:ascii="仿宋_GB2312" w:eastAsia="仿宋_GB2312"/>
          <w:color w:val="000000"/>
          <w:sz w:val="32"/>
          <w:szCs w:val="32"/>
        </w:rPr>
      </w:pPr>
      <w:r>
        <w:rPr>
          <w:rFonts w:ascii="仿宋_GB2312" w:eastAsia="仿宋_GB2312" w:hint="eastAsia"/>
          <w:sz w:val="32"/>
          <w:szCs w:val="32"/>
        </w:rPr>
        <w:t>本单位2024</w:t>
      </w:r>
      <w:r>
        <w:rPr>
          <w:rFonts w:ascii="仿宋_GB2312" w:eastAsia="仿宋_GB2312" w:hint="eastAsia"/>
          <w:color w:val="000000"/>
          <w:sz w:val="32"/>
          <w:szCs w:val="32"/>
        </w:rPr>
        <w:t>年无国有资本经营预算财政拨款安排的预算。</w:t>
      </w:r>
    </w:p>
    <w:p w:rsidR="000D236F" w:rsidRDefault="000D236F" w:rsidP="003D2D1B">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0D236F" w:rsidRDefault="000D236F"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截至2023年底，</w:t>
      </w:r>
      <w:r w:rsidR="008C1A1E">
        <w:rPr>
          <w:rFonts w:ascii="仿宋_GB2312" w:eastAsia="仿宋_GB2312" w:hint="eastAsia"/>
          <w:color w:val="000000"/>
          <w:sz w:val="32"/>
          <w:szCs w:val="32"/>
        </w:rPr>
        <w:t>北京市统计监测评价中心</w:t>
      </w:r>
      <w:r>
        <w:rPr>
          <w:rFonts w:ascii="仿宋_GB2312" w:eastAsia="仿宋_GB2312" w:hint="eastAsia"/>
          <w:color w:val="000000"/>
          <w:sz w:val="32"/>
          <w:szCs w:val="32"/>
        </w:rPr>
        <w:t>共有车辆</w:t>
      </w:r>
      <w:r w:rsidR="008C1A1E">
        <w:rPr>
          <w:rFonts w:ascii="仿宋_GB2312" w:eastAsia="仿宋_GB2312" w:hint="eastAsia"/>
          <w:color w:val="000000"/>
          <w:sz w:val="32"/>
          <w:szCs w:val="32"/>
        </w:rPr>
        <w:t>1</w:t>
      </w:r>
      <w:r>
        <w:rPr>
          <w:rFonts w:ascii="仿宋_GB2312" w:eastAsia="仿宋_GB2312" w:hint="eastAsia"/>
          <w:color w:val="000000"/>
          <w:sz w:val="32"/>
          <w:szCs w:val="32"/>
        </w:rPr>
        <w:t>台，共计</w:t>
      </w:r>
      <w:r w:rsidR="008C1A1E">
        <w:rPr>
          <w:rFonts w:ascii="仿宋_GB2312" w:eastAsia="仿宋_GB2312" w:hint="eastAsia"/>
          <w:color w:val="000000"/>
          <w:sz w:val="32"/>
          <w:szCs w:val="32"/>
        </w:rPr>
        <w:t>18.32</w:t>
      </w:r>
      <w:r>
        <w:rPr>
          <w:rFonts w:ascii="仿宋_GB2312" w:eastAsia="仿宋_GB2312" w:hint="eastAsia"/>
          <w:color w:val="000000"/>
          <w:sz w:val="32"/>
          <w:szCs w:val="32"/>
        </w:rPr>
        <w:t>万元；单位价值50万元以上的设备</w:t>
      </w:r>
      <w:r w:rsidR="003B7EBF">
        <w:rPr>
          <w:rFonts w:ascii="仿宋_GB2312" w:eastAsia="仿宋_GB2312" w:hint="eastAsia"/>
          <w:color w:val="000000"/>
          <w:sz w:val="32"/>
          <w:szCs w:val="32"/>
        </w:rPr>
        <w:t>0</w:t>
      </w:r>
      <w:r>
        <w:rPr>
          <w:rFonts w:ascii="仿宋_GB2312" w:eastAsia="仿宋_GB2312" w:hint="eastAsia"/>
          <w:color w:val="000000"/>
          <w:sz w:val="32"/>
          <w:szCs w:val="32"/>
        </w:rPr>
        <w:t>台（套）、共计</w:t>
      </w:r>
      <w:r w:rsidR="003B7EBF">
        <w:rPr>
          <w:rFonts w:ascii="仿宋_GB2312" w:eastAsia="仿宋_GB2312" w:hint="eastAsia"/>
          <w:color w:val="000000"/>
          <w:sz w:val="32"/>
          <w:szCs w:val="32"/>
        </w:rPr>
        <w:t>0</w:t>
      </w:r>
      <w:r>
        <w:rPr>
          <w:rFonts w:ascii="仿宋_GB2312" w:eastAsia="仿宋_GB2312" w:hint="eastAsia"/>
          <w:color w:val="000000"/>
          <w:sz w:val="32"/>
          <w:szCs w:val="32"/>
        </w:rPr>
        <w:t>万元。2024年预算安排中，购置单位价值50万元以上的设备</w:t>
      </w:r>
      <w:r w:rsidR="008C1A1E">
        <w:rPr>
          <w:rFonts w:ascii="仿宋_GB2312" w:eastAsia="仿宋_GB2312" w:hint="eastAsia"/>
          <w:color w:val="000000"/>
          <w:sz w:val="32"/>
          <w:szCs w:val="32"/>
        </w:rPr>
        <w:t>0</w:t>
      </w:r>
      <w:r>
        <w:rPr>
          <w:rFonts w:ascii="仿宋_GB2312" w:eastAsia="仿宋_GB2312" w:hint="eastAsia"/>
          <w:color w:val="000000"/>
          <w:sz w:val="32"/>
          <w:szCs w:val="32"/>
        </w:rPr>
        <w:t>台（套），共计</w:t>
      </w:r>
      <w:r w:rsidR="008C1A1E">
        <w:rPr>
          <w:rFonts w:ascii="仿宋_GB2312" w:eastAsia="仿宋_GB2312" w:hint="eastAsia"/>
          <w:color w:val="000000"/>
          <w:sz w:val="32"/>
          <w:szCs w:val="32"/>
        </w:rPr>
        <w:t>0</w:t>
      </w:r>
      <w:r>
        <w:rPr>
          <w:rFonts w:ascii="仿宋_GB2312" w:eastAsia="仿宋_GB2312" w:hint="eastAsia"/>
          <w:color w:val="000000"/>
          <w:sz w:val="32"/>
          <w:szCs w:val="32"/>
        </w:rPr>
        <w:t>万元。</w:t>
      </w:r>
    </w:p>
    <w:p w:rsidR="000D236F" w:rsidRDefault="000D236F" w:rsidP="003D2D1B">
      <w:pPr>
        <w:spacing w:line="54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0D236F" w:rsidRDefault="000D236F"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0D236F" w:rsidRDefault="000D236F"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0D236F" w:rsidRDefault="000D236F"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0D236F" w:rsidRDefault="000D236F"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D236F" w:rsidRDefault="000D236F"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w:t>
      </w:r>
      <w:r>
        <w:rPr>
          <w:rFonts w:ascii="仿宋_GB2312" w:eastAsia="仿宋_GB2312" w:hint="eastAsia"/>
          <w:color w:val="000000"/>
          <w:sz w:val="32"/>
          <w:szCs w:val="32"/>
        </w:rPr>
        <w:lastRenderedPageBreak/>
        <w:t>财政性资金采购依法制定的集中采购目录以内的或者采购限额标准以上的货物、工程和服务的行为，是规范财政支出管理和强化预算约束的有效措施。</w:t>
      </w:r>
    </w:p>
    <w:p w:rsidR="000D236F" w:rsidRDefault="000D236F" w:rsidP="003D2D1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0D236F" w:rsidRDefault="000D236F" w:rsidP="003D2D1B">
      <w:pPr>
        <w:spacing w:line="540" w:lineRule="exact"/>
        <w:jc w:val="center"/>
        <w:rPr>
          <w:rFonts w:ascii="方正小标宋简体" w:eastAsia="方正小标宋简体"/>
          <w:color w:val="000000"/>
          <w:sz w:val="36"/>
          <w:szCs w:val="36"/>
        </w:rPr>
      </w:pPr>
    </w:p>
    <w:p w:rsidR="000D236F" w:rsidRDefault="000D236F" w:rsidP="003D2D1B">
      <w:pPr>
        <w:spacing w:line="54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2024年度单位预算报表</w:t>
      </w:r>
    </w:p>
    <w:p w:rsidR="000D236F" w:rsidRDefault="000D236F" w:rsidP="003D2D1B">
      <w:pPr>
        <w:autoSpaceDE w:val="0"/>
        <w:autoSpaceDN w:val="0"/>
        <w:adjustRightInd w:val="0"/>
        <w:spacing w:line="540" w:lineRule="exact"/>
        <w:jc w:val="left"/>
        <w:rPr>
          <w:rFonts w:ascii="方正小标宋简体" w:eastAsia="方正小标宋简体"/>
          <w:color w:val="000000"/>
          <w:sz w:val="36"/>
          <w:szCs w:val="36"/>
        </w:rPr>
      </w:pPr>
    </w:p>
    <w:p w:rsidR="000D236F" w:rsidRDefault="000D236F" w:rsidP="003D2D1B">
      <w:pPr>
        <w:spacing w:line="540" w:lineRule="exact"/>
        <w:ind w:firstLineChars="200" w:firstLine="640"/>
        <w:rPr>
          <w:rFonts w:ascii="仿宋_GB2312" w:eastAsia="仿宋_GB2312"/>
          <w:sz w:val="32"/>
          <w:szCs w:val="32"/>
        </w:rPr>
      </w:pPr>
      <w:r>
        <w:rPr>
          <w:rFonts w:ascii="仿宋_GB2312" w:eastAsia="仿宋_GB2312" w:hint="eastAsia"/>
          <w:color w:val="000000"/>
          <w:sz w:val="32"/>
          <w:szCs w:val="32"/>
        </w:rPr>
        <w:t>附件：</w:t>
      </w:r>
      <w:r w:rsidR="008C1A1E">
        <w:rPr>
          <w:rFonts w:ascii="仿宋_GB2312" w:eastAsia="仿宋_GB2312" w:hint="eastAsia"/>
          <w:color w:val="000000"/>
          <w:sz w:val="32"/>
          <w:szCs w:val="32"/>
        </w:rPr>
        <w:t>北京市统计监测评价中心</w:t>
      </w:r>
      <w:r>
        <w:rPr>
          <w:rFonts w:ascii="仿宋_GB2312" w:eastAsia="仿宋_GB2312" w:hint="eastAsia"/>
          <w:color w:val="000000"/>
          <w:sz w:val="32"/>
          <w:szCs w:val="32"/>
        </w:rPr>
        <w:t>2024年度单位预算报表</w:t>
      </w:r>
      <w:r>
        <w:rPr>
          <w:rFonts w:ascii="仿宋_GB2312" w:eastAsia="仿宋_GB2312" w:cs="宋体" w:hint="eastAsia"/>
          <w:color w:val="000000"/>
          <w:kern w:val="0"/>
          <w:sz w:val="32"/>
          <w:szCs w:val="32"/>
          <w:lang w:val="zh-CN"/>
        </w:rPr>
        <w:t xml:space="preserve"> </w:t>
      </w:r>
      <w:bookmarkStart w:id="0" w:name="chaosong"/>
      <w:bookmarkEnd w:id="0"/>
    </w:p>
    <w:sectPr w:rsidR="000D236F" w:rsidSect="00F6680B">
      <w:footerReference w:type="default" r:id="rId9"/>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16E" w:rsidRDefault="0049116E">
      <w:r>
        <w:separator/>
      </w:r>
    </w:p>
  </w:endnote>
  <w:endnote w:type="continuationSeparator" w:id="1">
    <w:p w:rsidR="0049116E" w:rsidRDefault="004911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36F" w:rsidRDefault="0049116E">
    <w:pPr>
      <w:pStyle w:val="a5"/>
      <w:jc w:val="right"/>
      <w:rPr>
        <w:rFonts w:ascii="宋体" w:hAnsi="宋体"/>
        <w:sz w:val="28"/>
        <w:szCs w:val="28"/>
      </w:rPr>
    </w:pPr>
    <w:r w:rsidRPr="00366841">
      <w:rPr>
        <w:sz w:val="28"/>
      </w:rPr>
      <w:pict>
        <v:shapetype id="_x0000_t202" coordsize="21600,21600" o:spt="202" path="m,l,21600r21600,l21600,xe">
          <v:stroke joinstyle="miter"/>
          <v:path gradientshapeok="t" o:connecttype="rect"/>
        </v:shapetype>
        <v:shape id="文本框 1" o:spid="_x0000_s2050" type="#_x0000_t202" style="position:absolute;left:0;text-align:left;margin-left:624pt;margin-top:0;width:2in;height:2in;z-index:251657728;mso-wrap-style:none;mso-position-horizontal:outside;mso-position-horizontal-relative:margin" filled="f" stroked="f">
          <v:fill o:detectmouseclick="t"/>
          <v:textbox style="mso-fit-shape-to-text:t" inset="0,0,0,0">
            <w:txbxContent>
              <w:p w:rsidR="000D236F" w:rsidRDefault="0049116E">
                <w:pPr>
                  <w:pStyle w:val="a5"/>
                  <w:jc w:val="right"/>
                </w:pPr>
                <w:r>
                  <w:rPr>
                    <w:rFonts w:ascii="宋体" w:hAnsi="宋体"/>
                    <w:sz w:val="28"/>
                    <w:szCs w:val="28"/>
                  </w:rPr>
                  <w:fldChar w:fldCharType="begin"/>
                </w:r>
                <w:r w:rsidR="000D236F">
                  <w:rPr>
                    <w:rFonts w:ascii="宋体" w:hAnsi="宋体"/>
                    <w:sz w:val="28"/>
                    <w:szCs w:val="28"/>
                  </w:rPr>
                  <w:instrText>PAGE   \* MERGEFORMAT</w:instrText>
                </w:r>
                <w:r>
                  <w:rPr>
                    <w:rFonts w:ascii="宋体" w:hAnsi="宋体"/>
                    <w:sz w:val="28"/>
                    <w:szCs w:val="28"/>
                  </w:rPr>
                  <w:fldChar w:fldCharType="separate"/>
                </w:r>
                <w:r w:rsidR="009259CC" w:rsidRPr="009259CC">
                  <w:rPr>
                    <w:rFonts w:ascii="宋体" w:hAnsi="宋体"/>
                    <w:noProof/>
                    <w:sz w:val="28"/>
                    <w:szCs w:val="28"/>
                    <w:lang w:val="zh-CN"/>
                  </w:rPr>
                  <w:t>-</w:t>
                </w:r>
                <w:r w:rsidR="009259CC">
                  <w:rPr>
                    <w:rFonts w:ascii="宋体" w:hAnsi="宋体"/>
                    <w:noProof/>
                    <w:sz w:val="28"/>
                    <w:szCs w:val="28"/>
                  </w:rPr>
                  <w:t xml:space="preserve"> 2 -</w:t>
                </w:r>
                <w:r>
                  <w:rPr>
                    <w:rFonts w:ascii="宋体" w:hAnsi="宋体"/>
                    <w:sz w:val="28"/>
                    <w:szCs w:val="28"/>
                  </w:rPr>
                  <w:fldChar w:fldCharType="end"/>
                </w:r>
              </w:p>
            </w:txbxContent>
          </v:textbox>
          <w10:wrap anchorx="margin"/>
        </v:shape>
      </w:pict>
    </w:r>
  </w:p>
  <w:p w:rsidR="000D236F" w:rsidRDefault="000D236F">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16E" w:rsidRDefault="0049116E">
      <w:r>
        <w:separator/>
      </w:r>
    </w:p>
  </w:footnote>
  <w:footnote w:type="continuationSeparator" w:id="1">
    <w:p w:rsidR="0049116E" w:rsidRDefault="004911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FF0EF4"/>
    <w:multiLevelType w:val="singleLevel"/>
    <w:tmpl w:val="DFFF0EF4"/>
    <w:lvl w:ilvl="0">
      <w:start w:val="1"/>
      <w:numFmt w:val="chineseCounting"/>
      <w:suff w:val="nothing"/>
      <w:lvlText w:val="（%1）"/>
      <w:lvlJc w:val="left"/>
      <w:rPr>
        <w:rFonts w:hint="eastAsia"/>
      </w:rPr>
    </w:lvl>
  </w:abstractNum>
  <w:abstractNum w:abstractNumId="1">
    <w:nsid w:val="FF2E9D19"/>
    <w:multiLevelType w:val="singleLevel"/>
    <w:tmpl w:val="FF2E9D19"/>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331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7F79"/>
    <w:rsid w:val="00267F07"/>
    <w:rsid w:val="0032325C"/>
    <w:rsid w:val="00366841"/>
    <w:rsid w:val="00680958"/>
    <w:rsid w:val="006F3206"/>
    <w:rsid w:val="006F3CD8"/>
    <w:rsid w:val="00797F79"/>
    <w:rsid w:val="008A2E8D"/>
    <w:rsid w:val="009F505C"/>
    <w:rsid w:val="00F6680B"/>
    <w:rsid w:val="01DE318D"/>
    <w:rsid w:val="0EFFF08B"/>
    <w:rsid w:val="1556FFE7"/>
    <w:rsid w:val="1E2F585A"/>
    <w:rsid w:val="1FB9016F"/>
    <w:rsid w:val="1FE6D21C"/>
    <w:rsid w:val="23735A5C"/>
    <w:rsid w:val="2F7EA178"/>
    <w:rsid w:val="2FF31CCC"/>
    <w:rsid w:val="33BF5DDC"/>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BA30DB"/>
    <w:rsid w:val="3FBFE16E"/>
    <w:rsid w:val="3FF7F9C0"/>
    <w:rsid w:val="3FFBC816"/>
    <w:rsid w:val="48D44964"/>
    <w:rsid w:val="4CD68066"/>
    <w:rsid w:val="4E67CE40"/>
    <w:rsid w:val="4F6D150F"/>
    <w:rsid w:val="4FEE37C7"/>
    <w:rsid w:val="517E78AA"/>
    <w:rsid w:val="53DF3E7F"/>
    <w:rsid w:val="545DF6FA"/>
    <w:rsid w:val="55DE48F6"/>
    <w:rsid w:val="57ADBE82"/>
    <w:rsid w:val="57E332DD"/>
    <w:rsid w:val="57E9CD93"/>
    <w:rsid w:val="57EB425A"/>
    <w:rsid w:val="59D7A30C"/>
    <w:rsid w:val="5BEE7D82"/>
    <w:rsid w:val="5BFC36A8"/>
    <w:rsid w:val="5F5F35ED"/>
    <w:rsid w:val="5FB4B9F0"/>
    <w:rsid w:val="5FD532B6"/>
    <w:rsid w:val="5FE95128"/>
    <w:rsid w:val="5FFFD6B5"/>
    <w:rsid w:val="67BF653D"/>
    <w:rsid w:val="67FBD21B"/>
    <w:rsid w:val="69CDDFC6"/>
    <w:rsid w:val="6AFBD4E9"/>
    <w:rsid w:val="6BFE087F"/>
    <w:rsid w:val="6BFF83C2"/>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BCC8"/>
    <w:rsid w:val="76FE24ED"/>
    <w:rsid w:val="77773C62"/>
    <w:rsid w:val="777F4630"/>
    <w:rsid w:val="77DF7EB6"/>
    <w:rsid w:val="77FABEEF"/>
    <w:rsid w:val="78F52093"/>
    <w:rsid w:val="797F48DA"/>
    <w:rsid w:val="79CFCA19"/>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3BE6B0"/>
    <w:rsid w:val="7F3F94D5"/>
    <w:rsid w:val="7F3FC408"/>
    <w:rsid w:val="7F7AD461"/>
    <w:rsid w:val="7F9BB94C"/>
    <w:rsid w:val="7FB5D6F6"/>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00051B2B"/>
    <w:rsid w:val="00055E8B"/>
    <w:rsid w:val="000D236F"/>
    <w:rsid w:val="002301A2"/>
    <w:rsid w:val="00282EA9"/>
    <w:rsid w:val="003B7EBF"/>
    <w:rsid w:val="003D2D1B"/>
    <w:rsid w:val="0047053D"/>
    <w:rsid w:val="0049116E"/>
    <w:rsid w:val="00496C03"/>
    <w:rsid w:val="00561B04"/>
    <w:rsid w:val="00613EB4"/>
    <w:rsid w:val="00723D95"/>
    <w:rsid w:val="00743296"/>
    <w:rsid w:val="0080652B"/>
    <w:rsid w:val="0086327C"/>
    <w:rsid w:val="008C1A1E"/>
    <w:rsid w:val="009259CC"/>
    <w:rsid w:val="009A07F1"/>
    <w:rsid w:val="009A6A49"/>
    <w:rsid w:val="009E6870"/>
    <w:rsid w:val="00A03798"/>
    <w:rsid w:val="00AE2FB6"/>
    <w:rsid w:val="00B84CB0"/>
    <w:rsid w:val="00D207BD"/>
    <w:rsid w:val="00DB6592"/>
    <w:rsid w:val="00E01D91"/>
    <w:rsid w:val="00E172A7"/>
    <w:rsid w:val="00E65D11"/>
    <w:rsid w:val="00F163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F6680B"/>
    <w:pPr>
      <w:widowControl w:val="0"/>
      <w:jc w:val="both"/>
    </w:pPr>
    <w:rPr>
      <w:rFonts w:ascii="Times New Roman" w:hAnsi="Times New Roman"/>
      <w:kern w:val="2"/>
      <w:sz w:val="21"/>
      <w:szCs w:val="24"/>
    </w:rPr>
  </w:style>
  <w:style w:type="paragraph" w:styleId="2">
    <w:name w:val="heading 2"/>
    <w:basedOn w:val="a"/>
    <w:next w:val="a"/>
    <w:qFormat/>
    <w:rsid w:val="00F6680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6680B"/>
    <w:rPr>
      <w:rFonts w:eastAsia="楷体_GB2312"/>
      <w:sz w:val="32"/>
      <w:szCs w:val="20"/>
    </w:rPr>
  </w:style>
  <w:style w:type="paragraph" w:styleId="a4">
    <w:name w:val="Balloon Text"/>
    <w:basedOn w:val="a"/>
    <w:link w:val="Char"/>
    <w:rsid w:val="00F6680B"/>
    <w:rPr>
      <w:rFonts w:cs="Times New Roman"/>
      <w:sz w:val="18"/>
      <w:szCs w:val="18"/>
    </w:rPr>
  </w:style>
  <w:style w:type="character" w:customStyle="1" w:styleId="Char">
    <w:name w:val="批注框文本 Char"/>
    <w:link w:val="a4"/>
    <w:rsid w:val="00F6680B"/>
    <w:rPr>
      <w:rFonts w:ascii="Times New Roman" w:hAnsi="Times New Roman"/>
      <w:kern w:val="2"/>
      <w:sz w:val="18"/>
      <w:szCs w:val="18"/>
    </w:rPr>
  </w:style>
  <w:style w:type="paragraph" w:styleId="a5">
    <w:name w:val="footer"/>
    <w:basedOn w:val="a"/>
    <w:link w:val="Char0"/>
    <w:uiPriority w:val="99"/>
    <w:rsid w:val="00F6680B"/>
    <w:pPr>
      <w:tabs>
        <w:tab w:val="center" w:pos="4153"/>
        <w:tab w:val="right" w:pos="8306"/>
      </w:tabs>
      <w:snapToGrid w:val="0"/>
      <w:jc w:val="left"/>
    </w:pPr>
    <w:rPr>
      <w:rFonts w:cs="Times New Roman"/>
      <w:sz w:val="18"/>
      <w:szCs w:val="20"/>
    </w:rPr>
  </w:style>
  <w:style w:type="character" w:customStyle="1" w:styleId="Char0">
    <w:name w:val="页脚 Char"/>
    <w:link w:val="a5"/>
    <w:uiPriority w:val="99"/>
    <w:rsid w:val="00F6680B"/>
    <w:rPr>
      <w:rFonts w:ascii="Times New Roman" w:hAnsi="Times New Roman"/>
      <w:kern w:val="2"/>
      <w:sz w:val="18"/>
    </w:rPr>
  </w:style>
  <w:style w:type="paragraph" w:styleId="a6">
    <w:name w:val="header"/>
    <w:basedOn w:val="a"/>
    <w:link w:val="Char1"/>
    <w:rsid w:val="00F6680B"/>
    <w:pPr>
      <w:pBdr>
        <w:bottom w:val="single" w:sz="6" w:space="1" w:color="auto"/>
      </w:pBdr>
      <w:tabs>
        <w:tab w:val="center" w:pos="4153"/>
        <w:tab w:val="right" w:pos="8306"/>
      </w:tabs>
      <w:snapToGrid w:val="0"/>
      <w:jc w:val="center"/>
    </w:pPr>
    <w:rPr>
      <w:rFonts w:cs="Times New Roman"/>
      <w:sz w:val="18"/>
      <w:szCs w:val="18"/>
    </w:rPr>
  </w:style>
  <w:style w:type="character" w:customStyle="1" w:styleId="Char1">
    <w:name w:val="页眉 Char"/>
    <w:link w:val="a6"/>
    <w:rsid w:val="00F6680B"/>
    <w:rPr>
      <w:rFonts w:ascii="Times New Roman" w:hAnsi="Times New Roman"/>
      <w:kern w:val="2"/>
      <w:sz w:val="18"/>
      <w:szCs w:val="18"/>
    </w:rPr>
  </w:style>
  <w:style w:type="character" w:styleId="a7">
    <w:name w:val="page number"/>
    <w:rsid w:val="00F6680B"/>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Sheet1!$A$2</c:f>
              <c:strCache>
                <c:ptCount val="1"/>
                <c:pt idx="0">
                  <c:v>收入预算</c:v>
                </c:pt>
              </c:strCache>
            </c:strRef>
          </c:tx>
          <c:dLbls>
            <c:showCatName val="1"/>
            <c:showPercent val="1"/>
          </c:dLbls>
          <c:cat>
            <c:strRef>
              <c:f>Sheet1!$B$1:$C$1</c:f>
              <c:strCache>
                <c:ptCount val="2"/>
                <c:pt idx="0">
                  <c:v>一般公共预算拨款收入</c:v>
                </c:pt>
                <c:pt idx="1">
                  <c:v>上年结转结余</c:v>
                </c:pt>
              </c:strCache>
            </c:strRef>
          </c:cat>
          <c:val>
            <c:numRef>
              <c:f>Sheet1!$B$2:$C$2</c:f>
              <c:numCache>
                <c:formatCode>General</c:formatCode>
                <c:ptCount val="2"/>
                <c:pt idx="0">
                  <c:v>505.67</c:v>
                </c:pt>
                <c:pt idx="1">
                  <c:v>2.4</c:v>
                </c:pt>
              </c:numCache>
            </c:numRef>
          </c:val>
        </c:ser>
        <c:dLbls>
          <c:showCatName val="1"/>
          <c:showPercent val="1"/>
        </c:dLbls>
        <c:firstSliceAng val="0"/>
      </c:pieChart>
    </c:plotArea>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pieChart>
        <c:varyColors val="1"/>
        <c:ser>
          <c:idx val="0"/>
          <c:order val="0"/>
          <c:tx>
            <c:strRef>
              <c:f>Sheet1!$A$2</c:f>
              <c:strCache>
                <c:ptCount val="1"/>
                <c:pt idx="0">
                  <c:v>2023</c:v>
                </c:pt>
              </c:strCache>
            </c:strRef>
          </c:tx>
          <c:dLbls>
            <c:showPercent val="1"/>
          </c:dLbls>
          <c:cat>
            <c:strRef>
              <c:f>Sheet1!$B$1:$C$1</c:f>
              <c:strCache>
                <c:ptCount val="2"/>
                <c:pt idx="0">
                  <c:v>基本支出</c:v>
                </c:pt>
                <c:pt idx="1">
                  <c:v>项目支出</c:v>
                </c:pt>
              </c:strCache>
            </c:strRef>
          </c:cat>
          <c:val>
            <c:numRef>
              <c:f>Sheet1!$B$2:$C$2</c:f>
              <c:numCache>
                <c:formatCode>General</c:formatCode>
                <c:ptCount val="2"/>
                <c:pt idx="0">
                  <c:v>508.07</c:v>
                </c:pt>
                <c:pt idx="1">
                  <c:v>0</c:v>
                </c:pt>
              </c:numCache>
            </c:numRef>
          </c:val>
        </c:ser>
        <c:dLbls>
          <c:showPercent val="1"/>
        </c:dLbls>
        <c:firstSliceAng val="0"/>
      </c:pieChart>
    </c:plotArea>
    <c:legend>
      <c:legendPos val="r"/>
    </c:legend>
    <c:plotVisOnly val="1"/>
    <c:dispBlanksAs val="zero"/>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7</Pages>
  <Words>394</Words>
  <Characters>2247</Characters>
  <Application>Microsoft Office Word</Application>
  <DocSecurity>0</DocSecurity>
  <Lines>18</Lines>
  <Paragraphs>5</Paragraphs>
  <ScaleCrop>false</ScaleCrop>
  <Company>WwW.YlmF.CoM</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处领导：</dc:title>
  <dc:creator>马荣丽</dc:creator>
  <cp:lastModifiedBy>NTKO</cp:lastModifiedBy>
  <cp:revision>16</cp:revision>
  <cp:lastPrinted>2024-02-23T02:47:00Z</cp:lastPrinted>
  <dcterms:created xsi:type="dcterms:W3CDTF">2024-02-21T02:23:00Z</dcterms:created>
  <dcterms:modified xsi:type="dcterms:W3CDTF">2024-02-26T01:54:00Z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BD18CBCE778FBC28FA28BA6547FDD7CF</vt:lpwstr>
  </property>
</Properties>
</file>